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Acme" w:cs="Acme" w:eastAsia="Acme" w:hAnsi="Acme"/>
        </w:rPr>
      </w:pPr>
      <w:r w:rsidDel="00000000" w:rsidR="00000000" w:rsidRPr="00000000">
        <w:rPr>
          <w:rFonts w:ascii="Acme" w:cs="Acme" w:eastAsia="Acme" w:hAnsi="Acme"/>
          <w:sz w:val="34"/>
          <w:szCs w:val="34"/>
          <w:rtl w:val="0"/>
        </w:rPr>
        <w:t xml:space="preserve">Academic Mentoring Activity Playbook</w:t>
      </w:r>
      <w:r w:rsidDel="00000000" w:rsidR="00000000" w:rsidRPr="00000000">
        <w:rPr>
          <w:rtl w:val="0"/>
        </w:rPr>
      </w:r>
    </w:p>
    <w:p w:rsidR="00000000" w:rsidDel="00000000" w:rsidP="00000000" w:rsidRDefault="00000000" w:rsidRPr="00000000" w14:paraId="00000004">
      <w:pPr>
        <w:rPr>
          <w:rFonts w:ascii="Acme" w:cs="Acme" w:eastAsia="Acme" w:hAnsi="Acme"/>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7935"/>
        <w:tblGridChange w:id="0">
          <w:tblGrid>
            <w:gridCol w:w="2865"/>
            <w:gridCol w:w="7935"/>
          </w:tblGrid>
        </w:tblGridChange>
      </w:tblGrid>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Acme" w:cs="Acme" w:eastAsia="Acme" w:hAnsi="Acme"/>
              </w:rPr>
            </w:pPr>
            <w:r w:rsidDel="00000000" w:rsidR="00000000" w:rsidRPr="00000000">
              <w:rPr>
                <w:rFonts w:ascii="Acme" w:cs="Acme" w:eastAsia="Acme" w:hAnsi="Acme"/>
                <w:rtl w:val="0"/>
              </w:rPr>
              <w:t xml:space="preserve">REQUIRED</w:t>
            </w:r>
          </w:p>
        </w:tc>
      </w:tr>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Acme" w:cs="Acme" w:eastAsia="Acme" w:hAnsi="Acme"/>
              </w:rPr>
            </w:pPr>
            <w:r w:rsidDel="00000000" w:rsidR="00000000" w:rsidRPr="00000000">
              <w:rPr>
                <w:rFonts w:ascii="Acme" w:cs="Acme" w:eastAsia="Acme" w:hAnsi="Acme"/>
                <w:rtl w:val="0"/>
              </w:rPr>
              <w:t xml:space="preserve">Leader in Me</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Acme" w:cs="Acme" w:eastAsia="Acme" w:hAnsi="Acme"/>
              </w:rPr>
            </w:pPr>
            <w:r w:rsidDel="00000000" w:rsidR="00000000" w:rsidRPr="00000000">
              <w:rPr>
                <w:rFonts w:ascii="Acme" w:cs="Acme" w:eastAsia="Acme" w:hAnsi="Acme"/>
                <w:rtl w:val="0"/>
              </w:rPr>
              <w:t xml:space="preserve">Teachers will utilize a  time block to focus and teach Leader in Me Curriculum</w:t>
            </w:r>
          </w:p>
        </w:tc>
      </w:tr>
    </w:tbl>
    <w:p w:rsidR="00000000" w:rsidDel="00000000" w:rsidP="00000000" w:rsidRDefault="00000000" w:rsidRPr="00000000" w14:paraId="00000009">
      <w:pPr>
        <w:rPr>
          <w:rFonts w:ascii="Acme" w:cs="Acme" w:eastAsia="Acme" w:hAnsi="Acme"/>
        </w:rPr>
      </w:pPr>
      <w:r w:rsidDel="00000000" w:rsidR="00000000" w:rsidRPr="00000000">
        <w:rPr>
          <w:rtl w:val="0"/>
        </w:rPr>
      </w:r>
    </w:p>
    <w:tbl>
      <w:tblPr>
        <w:tblStyle w:val="Table2"/>
        <w:tblW w:w="107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2055"/>
        <w:gridCol w:w="8010"/>
        <w:tblGridChange w:id="0">
          <w:tblGrid>
            <w:gridCol w:w="675"/>
            <w:gridCol w:w="2055"/>
            <w:gridCol w:w="8010"/>
          </w:tblGrid>
        </w:tblGridChange>
      </w:tblGrid>
      <w:tr>
        <w:trPr>
          <w:cantSplit w:val="0"/>
          <w:trHeight w:val="440" w:hRule="atLeast"/>
          <w:tblHeader w:val="0"/>
        </w:trPr>
        <w:tc>
          <w:tcPr>
            <w:gridSpan w:val="2"/>
            <w:shd w:fill="f4cccc"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Acme" w:cs="Acme" w:eastAsia="Acme" w:hAnsi="Acme"/>
                <w:sz w:val="24"/>
                <w:szCs w:val="24"/>
              </w:rPr>
            </w:pPr>
            <w:r w:rsidDel="00000000" w:rsidR="00000000" w:rsidRPr="00000000">
              <w:rPr>
                <w:rFonts w:ascii="Acme" w:cs="Acme" w:eastAsia="Acme" w:hAnsi="Acme"/>
                <w:sz w:val="24"/>
                <w:szCs w:val="24"/>
                <w:rtl w:val="0"/>
              </w:rPr>
              <w:t xml:space="preserve">Activity</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cme" w:cs="Acme" w:eastAsia="Acme" w:hAnsi="Acme"/>
                <w:sz w:val="24"/>
                <w:szCs w:val="24"/>
              </w:rPr>
            </w:pPr>
            <w:r w:rsidDel="00000000" w:rsidR="00000000" w:rsidRPr="00000000">
              <w:rPr>
                <w:rFonts w:ascii="Acme" w:cs="Acme" w:eastAsia="Acme" w:hAnsi="Acme"/>
                <w:sz w:val="24"/>
                <w:szCs w:val="24"/>
                <w:rtl w:val="0"/>
              </w:rPr>
              <w:t xml:space="preserve">Description</w:t>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
              <w:rPr>
                <w:rFonts w:ascii="Acme" w:cs="Acme" w:eastAsia="Acme" w:hAnsi="Acm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540"/>
              <w:rPr>
                <w:rFonts w:ascii="Acme" w:cs="Acme" w:eastAsia="Acme" w:hAnsi="Acme"/>
                <w:u w:val="none"/>
              </w:rPr>
            </w:pPr>
            <w:r w:rsidDel="00000000" w:rsidR="00000000" w:rsidRPr="00000000">
              <w:rPr>
                <w:rtl w:val="0"/>
              </w:rPr>
            </w:r>
          </w:p>
        </w:tc>
        <w:tc>
          <w:tcPr>
            <w:shd w:fill="00ffff"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cme" w:cs="Acme" w:eastAsia="Acme" w:hAnsi="Acme"/>
              </w:rPr>
            </w:pPr>
            <w:r w:rsidDel="00000000" w:rsidR="00000000" w:rsidRPr="00000000">
              <w:rPr>
                <w:rFonts w:ascii="Acme" w:cs="Acme" w:eastAsia="Acme" w:hAnsi="Acme"/>
                <w:rtl w:val="0"/>
              </w:rPr>
              <w:t xml:space="preserve">(Blue- </w:t>
            </w:r>
            <w:r w:rsidDel="00000000" w:rsidR="00000000" w:rsidRPr="00000000">
              <w:rPr>
                <w:rFonts w:ascii="Acme" w:cs="Acme" w:eastAsia="Acme" w:hAnsi="Acme"/>
                <w:rtl w:val="0"/>
              </w:rPr>
              <w:t xml:space="preserve">Logisitcs</w:t>
            </w:r>
            <w:r w:rsidDel="00000000" w:rsidR="00000000" w:rsidRPr="00000000">
              <w:rPr>
                <w:rFonts w:ascii="Acme" w:cs="Acme" w:eastAsia="Acme" w:hAnsi="Acme"/>
                <w:rtl w:val="0"/>
              </w:rPr>
              <w:t xml:space="preserve">) Grade and Attendance Check</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Acme" w:cs="Acme" w:eastAsia="Acme" w:hAnsi="Acme"/>
              </w:rPr>
            </w:pPr>
            <w:r w:rsidDel="00000000" w:rsidR="00000000" w:rsidRPr="00000000">
              <w:rPr>
                <w:rFonts w:ascii="Acme" w:cs="Acme" w:eastAsia="Acme" w:hAnsi="Acme"/>
                <w:rtl w:val="0"/>
              </w:rPr>
              <w:t xml:space="preserve">Students log in and check grades for all his/her classes. Students will develop an action plan for failing grades including opportunities to recover grades when possible and calendaring tutoring. Students that are frequently absent can identify attendance hours to make up and and when</w:t>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540"/>
              <w:rPr>
                <w:rFonts w:ascii="Acme" w:cs="Acme" w:eastAsia="Acme" w:hAnsi="Acme"/>
                <w:u w:val="none"/>
              </w:rPr>
            </w:pPr>
            <w:r w:rsidDel="00000000" w:rsidR="00000000" w:rsidRPr="00000000">
              <w:rPr>
                <w:rtl w:val="0"/>
              </w:rPr>
            </w:r>
          </w:p>
        </w:tc>
        <w:tc>
          <w:tcPr>
            <w:shd w:fill="00ffff"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cme" w:cs="Acme" w:eastAsia="Acme" w:hAnsi="Acme"/>
              </w:rPr>
            </w:pPr>
            <w:r w:rsidDel="00000000" w:rsidR="00000000" w:rsidRPr="00000000">
              <w:rPr>
                <w:rFonts w:ascii="Acme" w:cs="Acme" w:eastAsia="Acme" w:hAnsi="Acme"/>
                <w:rtl w:val="0"/>
              </w:rPr>
              <w:t xml:space="preserve">Assessment Data Tracking</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cme" w:cs="Acme" w:eastAsia="Acme" w:hAnsi="Acme"/>
              </w:rPr>
            </w:pPr>
            <w:r w:rsidDel="00000000" w:rsidR="00000000" w:rsidRPr="00000000">
              <w:rPr>
                <w:rFonts w:ascii="Acme" w:cs="Acme" w:eastAsia="Acme" w:hAnsi="Acme"/>
                <w:rtl w:val="0"/>
              </w:rPr>
              <w:t xml:space="preserve">Students will track assessments grades and set goals for upcoming assessments.</w:t>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14">
            <w:pPr>
              <w:widowControl w:val="0"/>
              <w:numPr>
                <w:ilvl w:val="0"/>
                <w:numId w:val="4"/>
              </w:numPr>
              <w:spacing w:line="240" w:lineRule="auto"/>
              <w:ind w:left="720" w:right="0" w:hanging="540"/>
              <w:rPr>
                <w:rFonts w:ascii="Acme" w:cs="Acme" w:eastAsia="Acme" w:hAnsi="Acme"/>
                <w:u w:val="none"/>
              </w:rPr>
            </w:pPr>
            <w:r w:rsidDel="00000000" w:rsidR="00000000" w:rsidRPr="00000000">
              <w:rPr>
                <w:rtl w:val="0"/>
              </w:rPr>
            </w:r>
          </w:p>
        </w:tc>
        <w:tc>
          <w:tcPr>
            <w:shd w:fill="00fff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Acme" w:cs="Acme" w:eastAsia="Acme" w:hAnsi="Acme"/>
              </w:rPr>
            </w:pPr>
            <w:r w:rsidDel="00000000" w:rsidR="00000000" w:rsidRPr="00000000">
              <w:rPr>
                <w:rFonts w:ascii="Acme" w:cs="Acme" w:eastAsia="Acme" w:hAnsi="Acme"/>
                <w:rtl w:val="0"/>
              </w:rPr>
              <w:t xml:space="preserve">Planner</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Acme" w:cs="Acme" w:eastAsia="Acme" w:hAnsi="Acme"/>
              </w:rPr>
            </w:pPr>
            <w:r w:rsidDel="00000000" w:rsidR="00000000" w:rsidRPr="00000000">
              <w:rPr>
                <w:rFonts w:ascii="Acme" w:cs="Acme" w:eastAsia="Acme" w:hAnsi="Acme"/>
                <w:rtl w:val="0"/>
              </w:rPr>
              <w:t xml:space="preserve">Mark important upcoming events/deadlines and to-do’s that will need to be completed ahead of time on calendar (electronic, hard copy or hybrid). Create a to-do list.</w:t>
            </w:r>
          </w:p>
        </w:tc>
      </w:tr>
      <w:tr>
        <w:trPr>
          <w:cantSplit w:val="0"/>
          <w:tblHeader w:val="0"/>
        </w:trPr>
        <w:tc>
          <w:tcPr>
            <w:shd w:fill="00ffff"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4"/>
              </w:numPr>
              <w:spacing w:line="240" w:lineRule="auto"/>
              <w:ind w:left="720" w:right="0" w:hanging="540"/>
              <w:rPr>
                <w:rFonts w:ascii="Acme" w:cs="Acme" w:eastAsia="Acme" w:hAnsi="Acme"/>
                <w:u w:val="none"/>
              </w:rPr>
            </w:pPr>
            <w:r w:rsidDel="00000000" w:rsidR="00000000" w:rsidRPr="00000000">
              <w:rPr>
                <w:rtl w:val="0"/>
              </w:rPr>
            </w:r>
          </w:p>
        </w:tc>
        <w:tc>
          <w:tcPr>
            <w:shd w:fill="00ffff"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rFonts w:ascii="Acme" w:cs="Acme" w:eastAsia="Acme" w:hAnsi="Acme"/>
              </w:rPr>
            </w:pPr>
            <w:r w:rsidDel="00000000" w:rsidR="00000000" w:rsidRPr="00000000">
              <w:rPr>
                <w:rFonts w:ascii="Acme" w:cs="Acme" w:eastAsia="Acme" w:hAnsi="Acme"/>
                <w:rtl w:val="0"/>
              </w:rPr>
              <w:t xml:space="preserve">SEL</w:t>
            </w:r>
          </w:p>
        </w:tc>
        <w:tc>
          <w:tcPr>
            <w:shd w:fill="00ffff"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Acme" w:cs="Acme" w:eastAsia="Acme" w:hAnsi="Acme"/>
              </w:rPr>
            </w:pPr>
            <w:r w:rsidDel="00000000" w:rsidR="00000000" w:rsidRPr="00000000">
              <w:rPr>
                <w:rFonts w:ascii="Acme" w:cs="Acme" w:eastAsia="Acme" w:hAnsi="Acme"/>
                <w:rtl w:val="0"/>
              </w:rPr>
              <w:t xml:space="preserve">Identify your strengths and weaknesses as a student</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
              <w:jc w:val="center"/>
              <w:rPr>
                <w:rFonts w:ascii="Acme" w:cs="Acme" w:eastAsia="Acme" w:hAnsi="Acm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540"/>
              <w:jc w:val="center"/>
              <w:rPr>
                <w:rFonts w:ascii="Acme" w:cs="Acme" w:eastAsia="Acme" w:hAnsi="Acme"/>
                <w:u w:val="none"/>
              </w:rPr>
            </w:pPr>
            <w:r w:rsidDel="00000000" w:rsidR="00000000" w:rsidRPr="00000000">
              <w:rPr>
                <w:rtl w:val="0"/>
              </w:rPr>
            </w:r>
          </w:p>
        </w:tc>
        <w:tc>
          <w:tcPr>
            <w:shd w:fill="00ff00"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cme" w:cs="Acme" w:eastAsia="Acme" w:hAnsi="Acme"/>
              </w:rPr>
            </w:pPr>
            <w:r w:rsidDel="00000000" w:rsidR="00000000" w:rsidRPr="00000000">
              <w:rPr>
                <w:rFonts w:ascii="Acme" w:cs="Acme" w:eastAsia="Acme" w:hAnsi="Acme"/>
                <w:rtl w:val="0"/>
              </w:rPr>
              <w:t xml:space="preserve">(Green- College Studying) College Assignments</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cme" w:cs="Acme" w:eastAsia="Acme" w:hAnsi="Acme"/>
              </w:rPr>
            </w:pPr>
            <w:r w:rsidDel="00000000" w:rsidR="00000000" w:rsidRPr="00000000">
              <w:rPr>
                <w:rFonts w:ascii="Acme" w:cs="Acme" w:eastAsia="Acme" w:hAnsi="Acme"/>
                <w:rtl w:val="0"/>
              </w:rPr>
              <w:t xml:space="preserve">Students can work on college assignments that are due.</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1E">
            <w:pPr>
              <w:widowControl w:val="0"/>
              <w:numPr>
                <w:ilvl w:val="0"/>
                <w:numId w:val="1"/>
              </w:numPr>
              <w:spacing w:line="240" w:lineRule="auto"/>
              <w:ind w:left="720" w:hanging="540"/>
              <w:jc w:val="center"/>
              <w:rPr>
                <w:rFonts w:ascii="Acme" w:cs="Acme" w:eastAsia="Acme" w:hAnsi="Acme"/>
                <w:u w:val="none"/>
              </w:rPr>
            </w:pPr>
            <w:r w:rsidDel="00000000" w:rsidR="00000000" w:rsidRPr="00000000">
              <w:rPr>
                <w:rtl w:val="0"/>
              </w:rPr>
            </w:r>
          </w:p>
        </w:tc>
        <w:tc>
          <w:tcPr>
            <w:shd w:fill="00ff00"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rFonts w:ascii="Acme" w:cs="Acme" w:eastAsia="Acme" w:hAnsi="Acme"/>
              </w:rPr>
            </w:pPr>
            <w:r w:rsidDel="00000000" w:rsidR="00000000" w:rsidRPr="00000000">
              <w:rPr>
                <w:rFonts w:ascii="Acme" w:cs="Acme" w:eastAsia="Acme" w:hAnsi="Acme"/>
                <w:rtl w:val="0"/>
              </w:rPr>
              <w:t xml:space="preserve">Study Hall</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Acme" w:cs="Acme" w:eastAsia="Acme" w:hAnsi="Acme"/>
              </w:rPr>
            </w:pPr>
            <w:r w:rsidDel="00000000" w:rsidR="00000000" w:rsidRPr="00000000">
              <w:rPr>
                <w:rFonts w:ascii="Acme" w:cs="Acme" w:eastAsia="Acme" w:hAnsi="Acme"/>
                <w:rtl w:val="0"/>
              </w:rPr>
              <w:t xml:space="preserve">Study skills include but not limited to - organizing and annotating notes, completing reading, use mnemonic devices, make up songs, associate new information with something known, create visual such as graphic organizers, anchor charts, flash cards</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1"/>
              </w:numPr>
              <w:spacing w:line="240" w:lineRule="auto"/>
              <w:ind w:left="720" w:hanging="540"/>
              <w:jc w:val="center"/>
              <w:rPr>
                <w:rFonts w:ascii="Acme" w:cs="Acme" w:eastAsia="Acme" w:hAnsi="Acme"/>
                <w:u w:val="none"/>
              </w:rPr>
            </w:pPr>
            <w:r w:rsidDel="00000000" w:rsidR="00000000" w:rsidRPr="00000000">
              <w:rPr>
                <w:rtl w:val="0"/>
              </w:rPr>
            </w:r>
          </w:p>
        </w:tc>
        <w:tc>
          <w:tcPr>
            <w:shd w:fill="00ff00"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rFonts w:ascii="Acme" w:cs="Acme" w:eastAsia="Acme" w:hAnsi="Acme"/>
              </w:rPr>
            </w:pPr>
            <w:r w:rsidDel="00000000" w:rsidR="00000000" w:rsidRPr="00000000">
              <w:rPr>
                <w:rFonts w:ascii="Acme" w:cs="Acme" w:eastAsia="Acme" w:hAnsi="Acme"/>
                <w:rtl w:val="0"/>
              </w:rPr>
              <w:t xml:space="preserve">Study Group</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Acme" w:cs="Acme" w:eastAsia="Acme" w:hAnsi="Acme"/>
              </w:rPr>
            </w:pPr>
            <w:r w:rsidDel="00000000" w:rsidR="00000000" w:rsidRPr="00000000">
              <w:rPr>
                <w:rFonts w:ascii="Acme" w:cs="Acme" w:eastAsia="Acme" w:hAnsi="Acme"/>
                <w:rtl w:val="0"/>
              </w:rPr>
              <w:t xml:space="preserve">Create and/or join a small group to study. Take turns summarizing, compare notes, teach each other, identify vocabulary, quiz each other</w:t>
            </w:r>
          </w:p>
        </w:tc>
      </w:tr>
      <w:tr>
        <w:trPr>
          <w:cantSplit w:val="0"/>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24">
            <w:pPr>
              <w:widowControl w:val="0"/>
              <w:numPr>
                <w:ilvl w:val="0"/>
                <w:numId w:val="1"/>
              </w:numPr>
              <w:spacing w:line="240" w:lineRule="auto"/>
              <w:ind w:left="720" w:hanging="540"/>
              <w:jc w:val="center"/>
              <w:rPr>
                <w:rFonts w:ascii="Acme" w:cs="Acme" w:eastAsia="Acme" w:hAnsi="Acme"/>
                <w:u w:val="none"/>
              </w:rPr>
            </w:pPr>
            <w:r w:rsidDel="00000000" w:rsidR="00000000" w:rsidRPr="00000000">
              <w:rPr>
                <w:rtl w:val="0"/>
              </w:rPr>
            </w:r>
          </w:p>
        </w:tc>
        <w:tc>
          <w:tcPr>
            <w:shd w:fill="00ff00"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rFonts w:ascii="Acme" w:cs="Acme" w:eastAsia="Acme" w:hAnsi="Acme"/>
              </w:rPr>
            </w:pPr>
            <w:r w:rsidDel="00000000" w:rsidR="00000000" w:rsidRPr="00000000">
              <w:rPr>
                <w:rFonts w:ascii="Acme" w:cs="Acme" w:eastAsia="Acme" w:hAnsi="Acme"/>
                <w:rtl w:val="0"/>
              </w:rPr>
              <w:t xml:space="preserve">Email Professor</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Acme" w:cs="Acme" w:eastAsia="Acme" w:hAnsi="Acme"/>
              </w:rPr>
            </w:pPr>
            <w:r w:rsidDel="00000000" w:rsidR="00000000" w:rsidRPr="00000000">
              <w:rPr>
                <w:rFonts w:ascii="Acme" w:cs="Acme" w:eastAsia="Acme" w:hAnsi="Acme"/>
                <w:rtl w:val="0"/>
              </w:rPr>
              <w:t xml:space="preserve">Construct an email to your professor. Introduce yourself,  request support, ask a question or express a concern or other. </w:t>
            </w:r>
          </w:p>
        </w:tc>
      </w:tr>
      <w:tr>
        <w:trPr>
          <w:cantSplit w:val="0"/>
          <w:tblHeader w:val="0"/>
        </w:trPr>
        <w:tc>
          <w:tcPr>
            <w:shd w:fill="ff9900" w:val="clear"/>
            <w:tcMar>
              <w:top w:w="100.0" w:type="dxa"/>
              <w:left w:w="100.0" w:type="dxa"/>
              <w:bottom w:w="100.0" w:type="dxa"/>
              <w:right w:w="100.0" w:type="dxa"/>
            </w:tcMar>
            <w:vAlign w:val="top"/>
          </w:tcPr>
          <w:p w:rsidR="00000000" w:rsidDel="00000000" w:rsidP="00000000" w:rsidRDefault="00000000" w:rsidRPr="00000000" w14:paraId="00000027">
            <w:pPr>
              <w:widowControl w:val="0"/>
              <w:numPr>
                <w:ilvl w:val="0"/>
                <w:numId w:val="2"/>
              </w:numPr>
              <w:spacing w:line="240" w:lineRule="auto"/>
              <w:ind w:left="720" w:hanging="540"/>
              <w:jc w:val="center"/>
              <w:rPr>
                <w:rFonts w:ascii="Acme" w:cs="Acme" w:eastAsia="Acme" w:hAnsi="Acme"/>
                <w:sz w:val="18"/>
                <w:szCs w:val="18"/>
                <w:u w:val="none"/>
              </w:rPr>
            </w:pPr>
            <w:r w:rsidDel="00000000" w:rsidR="00000000" w:rsidRPr="00000000">
              <w:rPr>
                <w:rtl w:val="0"/>
              </w:rPr>
            </w:r>
          </w:p>
        </w:tc>
        <w:tc>
          <w:tcPr>
            <w:shd w:fill="ff9900"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Acme" w:cs="Acme" w:eastAsia="Acme" w:hAnsi="Acme"/>
                <w:sz w:val="18"/>
                <w:szCs w:val="18"/>
              </w:rPr>
            </w:pPr>
            <w:r w:rsidDel="00000000" w:rsidR="00000000" w:rsidRPr="00000000">
              <w:rPr>
                <w:rFonts w:ascii="Acme" w:cs="Acme" w:eastAsia="Acme" w:hAnsi="Acme"/>
                <w:sz w:val="18"/>
                <w:szCs w:val="18"/>
                <w:rtl w:val="0"/>
              </w:rPr>
              <w:t xml:space="preserve">(Orange- Test Prep) Khan Academy</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Acme" w:cs="Acme" w:eastAsia="Acme" w:hAnsi="Acme"/>
              </w:rPr>
            </w:pPr>
            <w:r w:rsidDel="00000000" w:rsidR="00000000" w:rsidRPr="00000000">
              <w:rPr>
                <w:rFonts w:ascii="Acme" w:cs="Acme" w:eastAsia="Acme" w:hAnsi="Acme"/>
                <w:rtl w:val="0"/>
              </w:rPr>
              <w:t xml:space="preserve">Practice on Khan Academy for pSAT, SAT, ACT, TSI, AP classes, and EOC classes</w:t>
            </w:r>
          </w:p>
        </w:tc>
      </w:tr>
      <w:tr>
        <w:trPr>
          <w:cantSplit w:val="0"/>
          <w:tblHeader w:val="0"/>
        </w:trPr>
        <w:tc>
          <w:tcPr>
            <w:shd w:fill="ff9900" w:val="clear"/>
            <w:tcMar>
              <w:top w:w="100.0" w:type="dxa"/>
              <w:left w:w="100.0" w:type="dxa"/>
              <w:bottom w:w="100.0" w:type="dxa"/>
              <w:right w:w="100.0" w:type="dxa"/>
            </w:tcMar>
            <w:vAlign w:val="top"/>
          </w:tcPr>
          <w:p w:rsidR="00000000" w:rsidDel="00000000" w:rsidP="00000000" w:rsidRDefault="00000000" w:rsidRPr="00000000" w14:paraId="0000002A">
            <w:pPr>
              <w:widowControl w:val="0"/>
              <w:numPr>
                <w:ilvl w:val="0"/>
                <w:numId w:val="2"/>
              </w:numPr>
              <w:spacing w:line="240" w:lineRule="auto"/>
              <w:ind w:left="720" w:hanging="540"/>
              <w:jc w:val="center"/>
              <w:rPr>
                <w:rFonts w:ascii="Acme" w:cs="Acme" w:eastAsia="Acme" w:hAnsi="Acme"/>
                <w:u w:val="none"/>
              </w:rPr>
            </w:pPr>
            <w:r w:rsidDel="00000000" w:rsidR="00000000" w:rsidRPr="00000000">
              <w:rPr>
                <w:rtl w:val="0"/>
              </w:rPr>
            </w:r>
          </w:p>
        </w:tc>
        <w:tc>
          <w:tcPr>
            <w:shd w:fill="ff9900"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Acme" w:cs="Acme" w:eastAsia="Acme" w:hAnsi="Acme"/>
              </w:rPr>
            </w:pPr>
            <w:r w:rsidDel="00000000" w:rsidR="00000000" w:rsidRPr="00000000">
              <w:rPr>
                <w:rFonts w:ascii="Acme" w:cs="Acme" w:eastAsia="Acme" w:hAnsi="Acme"/>
                <w:rtl w:val="0"/>
              </w:rPr>
              <w:t xml:space="preserve">EdReady</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Acme" w:cs="Acme" w:eastAsia="Acme" w:hAnsi="Acme"/>
              </w:rPr>
            </w:pPr>
            <w:r w:rsidDel="00000000" w:rsidR="00000000" w:rsidRPr="00000000">
              <w:rPr>
                <w:rFonts w:ascii="Acme" w:cs="Acme" w:eastAsia="Acme" w:hAnsi="Acme"/>
                <w:rtl w:val="0"/>
              </w:rPr>
              <w:t xml:space="preserve">Students can utilize EdReady to prepare for the TSIA 2 Exam</w:t>
            </w:r>
          </w:p>
          <w:p w:rsidR="00000000" w:rsidDel="00000000" w:rsidP="00000000" w:rsidRDefault="00000000" w:rsidRPr="00000000" w14:paraId="0000002D">
            <w:pPr>
              <w:widowControl w:val="0"/>
              <w:spacing w:line="240" w:lineRule="auto"/>
              <w:rPr>
                <w:rFonts w:ascii="Acme" w:cs="Acme" w:eastAsia="Acme" w:hAnsi="Acme"/>
              </w:rPr>
            </w:pPr>
            <w:r w:rsidDel="00000000" w:rsidR="00000000" w:rsidRPr="00000000">
              <w:rPr>
                <w:rtl w:val="0"/>
              </w:rPr>
            </w:r>
          </w:p>
        </w:tc>
      </w:tr>
      <w:tr>
        <w:trPr>
          <w:cantSplit w:val="0"/>
          <w:tblHeader w:val="0"/>
        </w:trPr>
        <w:tc>
          <w:tcPr>
            <w:shd w:fill="ff9900" w:val="clear"/>
            <w:tcMar>
              <w:top w:w="100.0" w:type="dxa"/>
              <w:left w:w="100.0" w:type="dxa"/>
              <w:bottom w:w="100.0" w:type="dxa"/>
              <w:right w:w="100.0" w:type="dxa"/>
            </w:tcMar>
            <w:vAlign w:val="top"/>
          </w:tcPr>
          <w:p w:rsidR="00000000" w:rsidDel="00000000" w:rsidP="00000000" w:rsidRDefault="00000000" w:rsidRPr="00000000" w14:paraId="0000002E">
            <w:pPr>
              <w:widowControl w:val="0"/>
              <w:numPr>
                <w:ilvl w:val="0"/>
                <w:numId w:val="2"/>
              </w:numPr>
              <w:spacing w:line="240" w:lineRule="auto"/>
              <w:ind w:left="720" w:hanging="540"/>
              <w:jc w:val="center"/>
              <w:rPr>
                <w:rFonts w:ascii="Acme" w:cs="Acme" w:eastAsia="Acme" w:hAnsi="Acme"/>
                <w:u w:val="none"/>
              </w:rPr>
            </w:pPr>
            <w:r w:rsidDel="00000000" w:rsidR="00000000" w:rsidRPr="00000000">
              <w:rPr>
                <w:rtl w:val="0"/>
              </w:rPr>
            </w:r>
          </w:p>
        </w:tc>
        <w:tc>
          <w:tcPr>
            <w:shd w:fill="ff9900"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Acme" w:cs="Acme" w:eastAsia="Acme" w:hAnsi="Acme"/>
              </w:rPr>
            </w:pPr>
            <w:r w:rsidDel="00000000" w:rsidR="00000000" w:rsidRPr="00000000">
              <w:rPr>
                <w:rFonts w:ascii="Acme" w:cs="Acme" w:eastAsia="Acme" w:hAnsi="Acme"/>
                <w:rtl w:val="0"/>
              </w:rPr>
              <w:t xml:space="preserve">Certification Review</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Acme" w:cs="Acme" w:eastAsia="Acme" w:hAnsi="Acme"/>
              </w:rPr>
            </w:pPr>
            <w:r w:rsidDel="00000000" w:rsidR="00000000" w:rsidRPr="00000000">
              <w:rPr>
                <w:rFonts w:ascii="Acme" w:cs="Acme" w:eastAsia="Acme" w:hAnsi="Acme"/>
                <w:rtl w:val="0"/>
              </w:rPr>
              <w:t xml:space="preserve">Students can review materials to prepare for their Health or Law Certification exams</w:t>
            </w:r>
          </w:p>
          <w:p w:rsidR="00000000" w:rsidDel="00000000" w:rsidP="00000000" w:rsidRDefault="00000000" w:rsidRPr="00000000" w14:paraId="00000031">
            <w:pPr>
              <w:widowControl w:val="0"/>
              <w:spacing w:line="240" w:lineRule="auto"/>
              <w:rPr>
                <w:rFonts w:ascii="Acme" w:cs="Acme" w:eastAsia="Acme" w:hAnsi="Acme"/>
              </w:rPr>
            </w:pPr>
            <w:r w:rsidDel="00000000" w:rsidR="00000000" w:rsidRPr="00000000">
              <w:rPr>
                <w:rtl w:val="0"/>
              </w:rPr>
            </w:r>
          </w:p>
        </w:tc>
      </w:tr>
      <w:tr>
        <w:trPr>
          <w:cantSplit w:val="0"/>
          <w:tblHeader w:val="0"/>
        </w:trPr>
        <w:tc>
          <w:tcPr>
            <w:shd w:fill="a64d79"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firstLine="180"/>
              <w:jc w:val="center"/>
              <w:rPr>
                <w:rFonts w:ascii="Acme" w:cs="Acme" w:eastAsia="Acme" w:hAnsi="Acme"/>
                <w:sz w:val="20"/>
                <w:szCs w:val="20"/>
              </w:rPr>
            </w:pPr>
            <w:r w:rsidDel="00000000" w:rsidR="00000000" w:rsidRPr="00000000">
              <w:rPr>
                <w:rtl w:val="0"/>
              </w:rPr>
            </w:r>
          </w:p>
          <w:p w:rsidR="00000000" w:rsidDel="00000000" w:rsidP="00000000" w:rsidRDefault="00000000" w:rsidRPr="00000000" w14:paraId="00000033">
            <w:pPr>
              <w:widowControl w:val="0"/>
              <w:numPr>
                <w:ilvl w:val="0"/>
                <w:numId w:val="3"/>
              </w:numPr>
              <w:spacing w:line="240" w:lineRule="auto"/>
              <w:ind w:left="720" w:hanging="540"/>
              <w:jc w:val="center"/>
              <w:rPr>
                <w:rFonts w:ascii="Acme" w:cs="Acme" w:eastAsia="Acme" w:hAnsi="Acme"/>
                <w:sz w:val="20"/>
                <w:szCs w:val="20"/>
                <w:u w:val="none"/>
              </w:rPr>
            </w:pPr>
            <w:r w:rsidDel="00000000" w:rsidR="00000000" w:rsidRPr="00000000">
              <w:rPr>
                <w:rtl w:val="0"/>
              </w:rPr>
            </w:r>
          </w:p>
        </w:tc>
        <w:tc>
          <w:tcPr>
            <w:shd w:fill="a64d79"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rFonts w:ascii="Acme" w:cs="Acme" w:eastAsia="Acme" w:hAnsi="Acme"/>
                <w:sz w:val="20"/>
                <w:szCs w:val="20"/>
              </w:rPr>
            </w:pPr>
            <w:r w:rsidDel="00000000" w:rsidR="00000000" w:rsidRPr="00000000">
              <w:rPr>
                <w:rFonts w:ascii="Acme" w:cs="Acme" w:eastAsia="Acme" w:hAnsi="Acme"/>
                <w:sz w:val="20"/>
                <w:szCs w:val="20"/>
                <w:rtl w:val="0"/>
              </w:rPr>
              <w:t xml:space="preserve">(Pink- Outside Activities) College/Scholarship Applications</w:t>
            </w:r>
          </w:p>
        </w:tc>
        <w:tc>
          <w:tcPr>
            <w:shd w:fill="a64d79"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Acme" w:cs="Acme" w:eastAsia="Acme" w:hAnsi="Acme"/>
              </w:rPr>
            </w:pPr>
            <w:r w:rsidDel="00000000" w:rsidR="00000000" w:rsidRPr="00000000">
              <w:rPr>
                <w:rFonts w:ascii="Acme" w:cs="Acme" w:eastAsia="Acme" w:hAnsi="Acme"/>
                <w:rtl w:val="0"/>
              </w:rPr>
              <w:t xml:space="preserve">Students can work on applications for colleges and scholarships</w:t>
            </w:r>
          </w:p>
          <w:p w:rsidR="00000000" w:rsidDel="00000000" w:rsidP="00000000" w:rsidRDefault="00000000" w:rsidRPr="00000000" w14:paraId="00000036">
            <w:pPr>
              <w:widowControl w:val="0"/>
              <w:spacing w:line="240" w:lineRule="auto"/>
              <w:rPr>
                <w:rFonts w:ascii="Acme" w:cs="Acme" w:eastAsia="Acme" w:hAnsi="Acme"/>
              </w:rPr>
            </w:pPr>
            <w:r w:rsidDel="00000000" w:rsidR="00000000" w:rsidRPr="00000000">
              <w:rPr>
                <w:rtl w:val="0"/>
              </w:rPr>
            </w:r>
          </w:p>
        </w:tc>
      </w:tr>
      <w:tr>
        <w:trPr>
          <w:cantSplit w:val="0"/>
          <w:tblHeader w:val="0"/>
        </w:trPr>
        <w:tc>
          <w:tcPr>
            <w:shd w:fill="a64d79" w:val="clear"/>
            <w:tcMar>
              <w:top w:w="100.0" w:type="dxa"/>
              <w:left w:w="100.0" w:type="dxa"/>
              <w:bottom w:w="100.0" w:type="dxa"/>
              <w:right w:w="100.0" w:type="dxa"/>
            </w:tcMar>
            <w:vAlign w:val="top"/>
          </w:tcPr>
          <w:p w:rsidR="00000000" w:rsidDel="00000000" w:rsidP="00000000" w:rsidRDefault="00000000" w:rsidRPr="00000000" w14:paraId="00000037">
            <w:pPr>
              <w:widowControl w:val="0"/>
              <w:numPr>
                <w:ilvl w:val="0"/>
                <w:numId w:val="3"/>
              </w:numPr>
              <w:spacing w:line="240" w:lineRule="auto"/>
              <w:ind w:left="720" w:hanging="540"/>
              <w:jc w:val="center"/>
              <w:rPr>
                <w:rFonts w:ascii="Acme" w:cs="Acme" w:eastAsia="Acme" w:hAnsi="Acme"/>
                <w:u w:val="none"/>
              </w:rPr>
            </w:pPr>
            <w:r w:rsidDel="00000000" w:rsidR="00000000" w:rsidRPr="00000000">
              <w:rPr>
                <w:rtl w:val="0"/>
              </w:rPr>
            </w:r>
          </w:p>
        </w:tc>
        <w:tc>
          <w:tcPr>
            <w:shd w:fill="a64d79"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Acme" w:cs="Acme" w:eastAsia="Acme" w:hAnsi="Acme"/>
              </w:rPr>
            </w:pPr>
            <w:r w:rsidDel="00000000" w:rsidR="00000000" w:rsidRPr="00000000">
              <w:rPr>
                <w:rFonts w:ascii="Acme" w:cs="Acme" w:eastAsia="Acme" w:hAnsi="Acme"/>
                <w:rtl w:val="0"/>
              </w:rPr>
              <w:t xml:space="preserve">Community Hours</w:t>
            </w:r>
          </w:p>
        </w:tc>
        <w:tc>
          <w:tcPr>
            <w:shd w:fill="a64d79"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Acme" w:cs="Acme" w:eastAsia="Acme" w:hAnsi="Acme"/>
              </w:rPr>
            </w:pPr>
            <w:r w:rsidDel="00000000" w:rsidR="00000000" w:rsidRPr="00000000">
              <w:rPr>
                <w:rFonts w:ascii="Acme" w:cs="Acme" w:eastAsia="Acme" w:hAnsi="Acme"/>
                <w:rtl w:val="0"/>
              </w:rPr>
              <w:t xml:space="preserve">Students will identify or create opportunities to complete community hours and mark calendar</w:t>
            </w:r>
          </w:p>
        </w:tc>
      </w:tr>
      <w:tr>
        <w:trPr>
          <w:cantSplit w:val="0"/>
          <w:tblHeader w:val="0"/>
        </w:trPr>
        <w:tc>
          <w:tcPr>
            <w:shd w:fill="a64d79" w:val="clear"/>
            <w:tcMar>
              <w:top w:w="100.0" w:type="dxa"/>
              <w:left w:w="100.0" w:type="dxa"/>
              <w:bottom w:w="100.0" w:type="dxa"/>
              <w:right w:w="100.0" w:type="dxa"/>
            </w:tcMar>
            <w:vAlign w:val="top"/>
          </w:tcPr>
          <w:p w:rsidR="00000000" w:rsidDel="00000000" w:rsidP="00000000" w:rsidRDefault="00000000" w:rsidRPr="00000000" w14:paraId="0000003A">
            <w:pPr>
              <w:widowControl w:val="0"/>
              <w:numPr>
                <w:ilvl w:val="0"/>
                <w:numId w:val="3"/>
              </w:numPr>
              <w:spacing w:line="240" w:lineRule="auto"/>
              <w:ind w:left="720" w:hanging="540"/>
              <w:jc w:val="center"/>
              <w:rPr>
                <w:rFonts w:ascii="Acme" w:cs="Acme" w:eastAsia="Acme" w:hAnsi="Acme"/>
                <w:u w:val="none"/>
              </w:rPr>
            </w:pPr>
            <w:r w:rsidDel="00000000" w:rsidR="00000000" w:rsidRPr="00000000">
              <w:rPr>
                <w:rtl w:val="0"/>
              </w:rPr>
            </w:r>
          </w:p>
        </w:tc>
        <w:tc>
          <w:tcPr>
            <w:shd w:fill="a64d79"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Acme" w:cs="Acme" w:eastAsia="Acme" w:hAnsi="Acme"/>
              </w:rPr>
            </w:pPr>
            <w:r w:rsidDel="00000000" w:rsidR="00000000" w:rsidRPr="00000000">
              <w:rPr>
                <w:rFonts w:ascii="Acme" w:cs="Acme" w:eastAsia="Acme" w:hAnsi="Acme"/>
                <w:rtl w:val="0"/>
              </w:rPr>
              <w:t xml:space="preserve">Housekeeping</w:t>
            </w:r>
          </w:p>
        </w:tc>
        <w:tc>
          <w:tcPr>
            <w:shd w:fill="a64d79"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Acme" w:cs="Acme" w:eastAsia="Acme" w:hAnsi="Acme"/>
              </w:rPr>
            </w:pPr>
            <w:r w:rsidDel="00000000" w:rsidR="00000000" w:rsidRPr="00000000">
              <w:rPr>
                <w:rFonts w:ascii="Acme" w:cs="Acme" w:eastAsia="Acme" w:hAnsi="Acme"/>
                <w:rtl w:val="0"/>
              </w:rPr>
              <w:t xml:space="preserve">Organize files - electronic and hard copies. Clean backpack/bag</w:t>
            </w:r>
          </w:p>
        </w:tc>
      </w:tr>
      <w:tr>
        <w:trPr>
          <w:cantSplit w:val="0"/>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Acme" w:cs="Acme" w:eastAsia="Acme" w:hAnsi="Acme"/>
              </w:rPr>
            </w:pPr>
            <w:r w:rsidDel="00000000" w:rsidR="00000000" w:rsidRPr="00000000">
              <w:rPr>
                <w:rtl w:val="0"/>
              </w:rPr>
            </w:r>
          </w:p>
        </w:tc>
        <w:tc>
          <w:tcPr>
            <w:shd w:fill="6fa8dc"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Acme" w:cs="Acme" w:eastAsia="Acme" w:hAnsi="Acme"/>
              </w:rPr>
            </w:pPr>
            <w:r w:rsidDel="00000000" w:rsidR="00000000" w:rsidRPr="00000000">
              <w:rPr>
                <w:rFonts w:ascii="Acme" w:cs="Acme" w:eastAsia="Acme" w:hAnsi="Acme"/>
                <w:rtl w:val="0"/>
              </w:rPr>
              <w:t xml:space="preserve">Houses </w:t>
            </w:r>
          </w:p>
        </w:tc>
        <w:tc>
          <w:tcPr>
            <w:shd w:fill="6fa8dc"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Acme" w:cs="Acme" w:eastAsia="Acme" w:hAnsi="Acme"/>
              </w:rPr>
            </w:pPr>
            <w:r w:rsidDel="00000000" w:rsidR="00000000" w:rsidRPr="00000000">
              <w:rPr>
                <w:rFonts w:ascii="Acme" w:cs="Acme" w:eastAsia="Acme" w:hAnsi="Acme"/>
                <w:rtl w:val="0"/>
              </w:rPr>
              <w:t xml:space="preserve">Students new to houses can watch this video as an introduction with  the House system. </w:t>
            </w:r>
            <w:hyperlink r:id="rId6">
              <w:r w:rsidDel="00000000" w:rsidR="00000000" w:rsidRPr="00000000">
                <w:rPr>
                  <w:rFonts w:ascii="Calibri" w:cs="Calibri" w:eastAsia="Calibri" w:hAnsi="Calibri"/>
                  <w:color w:val="1155cc"/>
                  <w:sz w:val="24"/>
                  <w:szCs w:val="24"/>
                  <w:u w:val="single"/>
                  <w:rtl w:val="0"/>
                </w:rPr>
                <w:t xml:space="preserve">https://drive.google.com/file/d/1m5kfdRLO9LsMDQgx5Nn_hR5KxIjWaBgy/view?usp=sharing</w:t>
              </w:r>
            </w:hyperlink>
            <w:r w:rsidDel="00000000" w:rsidR="00000000" w:rsidRPr="00000000">
              <w:rPr>
                <w:rFonts w:ascii="Acme" w:cs="Acme" w:eastAsia="Acme" w:hAnsi="Acme"/>
                <w:rtl w:val="0"/>
              </w:rPr>
              <w:t xml:space="preserve"> (download the file)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Acme" w:cs="Acme" w:eastAsia="Acme" w:hAnsi="Acm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Acme" w:cs="Acme" w:eastAsia="Acme" w:hAnsi="Acm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Acme" w:cs="Acme" w:eastAsia="Acme" w:hAnsi="Acm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Acme" w:cs="Acme" w:eastAsia="Acme" w:hAnsi="Acm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Acme" w:cs="Acme" w:eastAsia="Acme" w:hAnsi="Acm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Acme" w:cs="Acme" w:eastAsia="Acme" w:hAnsi="Acm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Acme" w:cs="Acme" w:eastAsia="Acme" w:hAnsi="Acm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Acme" w:cs="Acme" w:eastAsia="Acme" w:hAnsi="Acm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Acme" w:cs="Acme" w:eastAsia="Acme" w:hAnsi="Acm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Acme" w:cs="Acme" w:eastAsia="Acme" w:hAnsi="Acm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Acme" w:cs="Acme" w:eastAsia="Acme" w:hAnsi="Acm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Acme" w:cs="Acme" w:eastAsia="Acme" w:hAnsi="Acm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Acme" w:cs="Acme" w:eastAsia="Acme" w:hAnsi="Acm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Acme" w:cs="Acme" w:eastAsia="Acme" w:hAnsi="Acm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Acme" w:cs="Acme" w:eastAsia="Acme" w:hAnsi="Acm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Acme" w:cs="Acme" w:eastAsia="Acme" w:hAnsi="Acm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Acme" w:cs="Acme" w:eastAsia="Acme" w:hAnsi="Acm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Acme" w:cs="Acme" w:eastAsia="Acme" w:hAnsi="Acm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Acme" w:cs="Acme" w:eastAsia="Acme" w:hAnsi="Acme"/>
              </w:rPr>
            </w:pPr>
            <w:r w:rsidDel="00000000" w:rsidR="00000000" w:rsidRPr="00000000">
              <w:rPr>
                <w:rtl w:val="0"/>
              </w:rPr>
            </w:r>
          </w:p>
        </w:tc>
      </w:tr>
    </w:tbl>
    <w:p w:rsidR="00000000" w:rsidDel="00000000" w:rsidP="00000000" w:rsidRDefault="00000000" w:rsidRPr="00000000" w14:paraId="00000076">
      <w:pPr>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cme">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jc w:val="right"/>
      <w:rPr/>
    </w:pPr>
    <w:r w:rsidDel="00000000" w:rsidR="00000000" w:rsidRPr="00000000">
      <w:rPr>
        <w:rtl w:val="0"/>
      </w:rPr>
      <w:t xml:space="preserve">Draft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m5kfdRLO9LsMDQgx5Nn_hR5KxIjWaBgy/view?usp=sharing"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cm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