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807" w:rsidRDefault="006E0807">
      <w:pPr>
        <w:widowControl w:val="0"/>
        <w:pBdr>
          <w:top w:val="nil"/>
          <w:left w:val="nil"/>
          <w:bottom w:val="nil"/>
          <w:right w:val="nil"/>
          <w:between w:val="nil"/>
        </w:pBdr>
        <w:spacing w:line="276" w:lineRule="auto"/>
        <w:rPr>
          <w:color w:val="000000"/>
        </w:rPr>
      </w:pPr>
      <w:bookmarkStart w:id="0" w:name="_GoBack"/>
      <w:bookmarkEnd w:id="0"/>
    </w:p>
    <w:tbl>
      <w:tblPr>
        <w:tblStyle w:val="a"/>
        <w:tblW w:w="9350" w:type="dxa"/>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847"/>
        <w:gridCol w:w="2923"/>
        <w:gridCol w:w="1497"/>
        <w:gridCol w:w="3083"/>
      </w:tblGrid>
      <w:tr w:rsidR="006E0807">
        <w:trPr>
          <w:trHeight w:val="280"/>
          <w:jc w:val="center"/>
        </w:trPr>
        <w:tc>
          <w:tcPr>
            <w:tcW w:w="1847" w:type="dxa"/>
            <w:vAlign w:val="center"/>
          </w:tcPr>
          <w:p w:rsidR="006E0807" w:rsidRDefault="00836F48">
            <w:pPr>
              <w:jc w:val="center"/>
              <w:rPr>
                <w:rFonts w:ascii="Garamond" w:eastAsia="Garamond" w:hAnsi="Garamond" w:cs="Garamond"/>
                <w:b/>
                <w:sz w:val="24"/>
                <w:szCs w:val="24"/>
              </w:rPr>
            </w:pPr>
            <w:r>
              <w:rPr>
                <w:rFonts w:ascii="Garamond" w:eastAsia="Garamond" w:hAnsi="Garamond" w:cs="Garamond"/>
                <w:b/>
                <w:sz w:val="24"/>
                <w:szCs w:val="24"/>
              </w:rPr>
              <w:t>Course Names:</w:t>
            </w:r>
          </w:p>
        </w:tc>
        <w:tc>
          <w:tcPr>
            <w:tcW w:w="2923" w:type="dxa"/>
            <w:vAlign w:val="center"/>
          </w:tcPr>
          <w:p w:rsidR="006E0807" w:rsidRDefault="00836F48">
            <w:pPr>
              <w:jc w:val="center"/>
              <w:rPr>
                <w:i/>
              </w:rPr>
            </w:pPr>
            <w:r>
              <w:rPr>
                <w:i/>
              </w:rPr>
              <w:t>ENGLISH II,</w:t>
            </w:r>
          </w:p>
          <w:p w:rsidR="006E0807" w:rsidRDefault="00836F48">
            <w:pPr>
              <w:jc w:val="center"/>
              <w:rPr>
                <w:i/>
              </w:rPr>
            </w:pPr>
            <w:r>
              <w:rPr>
                <w:i/>
              </w:rPr>
              <w:t xml:space="preserve">ENGLISH II Pre-AP, </w:t>
            </w:r>
          </w:p>
        </w:tc>
        <w:tc>
          <w:tcPr>
            <w:tcW w:w="1497" w:type="dxa"/>
            <w:vAlign w:val="center"/>
          </w:tcPr>
          <w:p w:rsidR="006E0807" w:rsidRDefault="00836F48">
            <w:pPr>
              <w:jc w:val="center"/>
              <w:rPr>
                <w:rFonts w:ascii="Garamond" w:eastAsia="Garamond" w:hAnsi="Garamond" w:cs="Garamond"/>
                <w:b/>
                <w:sz w:val="24"/>
                <w:szCs w:val="24"/>
              </w:rPr>
            </w:pPr>
            <w:r>
              <w:rPr>
                <w:rFonts w:ascii="Garamond" w:eastAsia="Garamond" w:hAnsi="Garamond" w:cs="Garamond"/>
                <w:b/>
                <w:sz w:val="24"/>
                <w:szCs w:val="24"/>
              </w:rPr>
              <w:t xml:space="preserve">Teacher: </w:t>
            </w:r>
          </w:p>
        </w:tc>
        <w:tc>
          <w:tcPr>
            <w:tcW w:w="3083" w:type="dxa"/>
            <w:vAlign w:val="center"/>
          </w:tcPr>
          <w:p w:rsidR="006E0807" w:rsidRDefault="00836F48">
            <w:pPr>
              <w:jc w:val="center"/>
              <w:rPr>
                <w:i/>
              </w:rPr>
            </w:pPr>
            <w:r>
              <w:rPr>
                <w:i/>
              </w:rPr>
              <w:t>Mrs. G. Robles</w:t>
            </w:r>
          </w:p>
        </w:tc>
      </w:tr>
      <w:tr w:rsidR="006E0807">
        <w:trPr>
          <w:trHeight w:val="300"/>
          <w:jc w:val="center"/>
        </w:trPr>
        <w:tc>
          <w:tcPr>
            <w:tcW w:w="1847" w:type="dxa"/>
            <w:vAlign w:val="center"/>
          </w:tcPr>
          <w:p w:rsidR="006E0807" w:rsidRDefault="00836F48">
            <w:pPr>
              <w:jc w:val="center"/>
              <w:rPr>
                <w:rFonts w:ascii="Garamond" w:eastAsia="Garamond" w:hAnsi="Garamond" w:cs="Garamond"/>
                <w:b/>
                <w:sz w:val="24"/>
                <w:szCs w:val="24"/>
              </w:rPr>
            </w:pPr>
            <w:r>
              <w:rPr>
                <w:rFonts w:ascii="Garamond" w:eastAsia="Garamond" w:hAnsi="Garamond" w:cs="Garamond"/>
                <w:b/>
                <w:sz w:val="24"/>
                <w:szCs w:val="24"/>
              </w:rPr>
              <w:t>Year:</w:t>
            </w:r>
          </w:p>
        </w:tc>
        <w:tc>
          <w:tcPr>
            <w:tcW w:w="2923" w:type="dxa"/>
            <w:vAlign w:val="center"/>
          </w:tcPr>
          <w:p w:rsidR="006E0807" w:rsidRDefault="00836F48">
            <w:pPr>
              <w:jc w:val="center"/>
              <w:rPr>
                <w:i/>
              </w:rPr>
            </w:pPr>
            <w:r>
              <w:rPr>
                <w:i/>
              </w:rPr>
              <w:t>2018-2019</w:t>
            </w:r>
          </w:p>
        </w:tc>
        <w:tc>
          <w:tcPr>
            <w:tcW w:w="1497" w:type="dxa"/>
            <w:vAlign w:val="center"/>
          </w:tcPr>
          <w:p w:rsidR="006E0807" w:rsidRDefault="00836F48">
            <w:pPr>
              <w:jc w:val="center"/>
              <w:rPr>
                <w:rFonts w:ascii="Garamond" w:eastAsia="Garamond" w:hAnsi="Garamond" w:cs="Garamond"/>
                <w:b/>
                <w:sz w:val="24"/>
                <w:szCs w:val="24"/>
              </w:rPr>
            </w:pPr>
            <w:r>
              <w:rPr>
                <w:rFonts w:ascii="Garamond" w:eastAsia="Garamond" w:hAnsi="Garamond" w:cs="Garamond"/>
                <w:b/>
                <w:sz w:val="24"/>
                <w:szCs w:val="24"/>
              </w:rPr>
              <w:t>Email:</w:t>
            </w:r>
          </w:p>
        </w:tc>
        <w:tc>
          <w:tcPr>
            <w:tcW w:w="3083" w:type="dxa"/>
            <w:vAlign w:val="center"/>
          </w:tcPr>
          <w:p w:rsidR="006E0807" w:rsidRDefault="00836F48">
            <w:pPr>
              <w:jc w:val="center"/>
              <w:rPr>
                <w:i/>
              </w:rPr>
            </w:pPr>
            <w:r>
              <w:rPr>
                <w:i/>
              </w:rPr>
              <w:t>grobles3@saisd.net</w:t>
            </w:r>
          </w:p>
        </w:tc>
      </w:tr>
      <w:tr w:rsidR="006E0807">
        <w:trPr>
          <w:trHeight w:val="280"/>
          <w:jc w:val="center"/>
        </w:trPr>
        <w:tc>
          <w:tcPr>
            <w:tcW w:w="1847" w:type="dxa"/>
            <w:vAlign w:val="center"/>
          </w:tcPr>
          <w:p w:rsidR="006E0807" w:rsidRDefault="00836F48">
            <w:pPr>
              <w:jc w:val="center"/>
              <w:rPr>
                <w:rFonts w:ascii="Garamond" w:eastAsia="Garamond" w:hAnsi="Garamond" w:cs="Garamond"/>
                <w:b/>
                <w:sz w:val="24"/>
                <w:szCs w:val="24"/>
              </w:rPr>
            </w:pPr>
            <w:r>
              <w:rPr>
                <w:rFonts w:ascii="Garamond" w:eastAsia="Garamond" w:hAnsi="Garamond" w:cs="Garamond"/>
                <w:b/>
                <w:sz w:val="24"/>
                <w:szCs w:val="24"/>
              </w:rPr>
              <w:t>Course Credit:</w:t>
            </w:r>
          </w:p>
        </w:tc>
        <w:tc>
          <w:tcPr>
            <w:tcW w:w="2923" w:type="dxa"/>
            <w:vAlign w:val="center"/>
          </w:tcPr>
          <w:p w:rsidR="006E0807" w:rsidRDefault="00836F48">
            <w:pPr>
              <w:jc w:val="center"/>
              <w:rPr>
                <w:i/>
              </w:rPr>
            </w:pPr>
            <w:r>
              <w:rPr>
                <w:i/>
              </w:rPr>
              <w:t>1 CREDIT</w:t>
            </w:r>
          </w:p>
        </w:tc>
        <w:tc>
          <w:tcPr>
            <w:tcW w:w="1497" w:type="dxa"/>
            <w:vAlign w:val="center"/>
          </w:tcPr>
          <w:p w:rsidR="006E0807" w:rsidRDefault="00836F48">
            <w:pPr>
              <w:jc w:val="center"/>
              <w:rPr>
                <w:rFonts w:ascii="Garamond" w:eastAsia="Garamond" w:hAnsi="Garamond" w:cs="Garamond"/>
                <w:b/>
                <w:sz w:val="24"/>
                <w:szCs w:val="24"/>
              </w:rPr>
            </w:pPr>
            <w:r>
              <w:rPr>
                <w:rFonts w:ascii="Garamond" w:eastAsia="Garamond" w:hAnsi="Garamond" w:cs="Garamond"/>
                <w:b/>
                <w:sz w:val="24"/>
                <w:szCs w:val="24"/>
              </w:rPr>
              <w:t>Room:</w:t>
            </w:r>
          </w:p>
        </w:tc>
        <w:tc>
          <w:tcPr>
            <w:tcW w:w="3083" w:type="dxa"/>
            <w:vAlign w:val="center"/>
          </w:tcPr>
          <w:p w:rsidR="006E0807" w:rsidRDefault="00836F48">
            <w:pPr>
              <w:jc w:val="center"/>
              <w:rPr>
                <w:i/>
              </w:rPr>
            </w:pPr>
            <w:r>
              <w:rPr>
                <w:i/>
              </w:rPr>
              <w:t>618</w:t>
            </w:r>
          </w:p>
        </w:tc>
      </w:tr>
      <w:tr w:rsidR="006E0807">
        <w:trPr>
          <w:trHeight w:val="300"/>
          <w:jc w:val="center"/>
        </w:trPr>
        <w:tc>
          <w:tcPr>
            <w:tcW w:w="1847" w:type="dxa"/>
            <w:vAlign w:val="center"/>
          </w:tcPr>
          <w:p w:rsidR="006E0807" w:rsidRDefault="00836F48">
            <w:pPr>
              <w:jc w:val="center"/>
              <w:rPr>
                <w:rFonts w:ascii="Garamond" w:eastAsia="Garamond" w:hAnsi="Garamond" w:cs="Garamond"/>
                <w:b/>
                <w:sz w:val="24"/>
                <w:szCs w:val="24"/>
              </w:rPr>
            </w:pPr>
            <w:r>
              <w:rPr>
                <w:rFonts w:ascii="Garamond" w:eastAsia="Garamond" w:hAnsi="Garamond" w:cs="Garamond"/>
                <w:b/>
                <w:sz w:val="24"/>
                <w:szCs w:val="24"/>
              </w:rPr>
              <w:t>Grade:</w:t>
            </w:r>
          </w:p>
        </w:tc>
        <w:tc>
          <w:tcPr>
            <w:tcW w:w="2923" w:type="dxa"/>
            <w:vAlign w:val="center"/>
          </w:tcPr>
          <w:p w:rsidR="006E0807" w:rsidRDefault="00836F48">
            <w:pPr>
              <w:jc w:val="center"/>
              <w:rPr>
                <w:i/>
              </w:rPr>
            </w:pPr>
            <w:r>
              <w:rPr>
                <w:i/>
              </w:rPr>
              <w:t>10</w:t>
            </w:r>
          </w:p>
        </w:tc>
        <w:tc>
          <w:tcPr>
            <w:tcW w:w="1497" w:type="dxa"/>
            <w:vAlign w:val="center"/>
          </w:tcPr>
          <w:p w:rsidR="006E0807" w:rsidRDefault="00836F48">
            <w:pPr>
              <w:jc w:val="center"/>
              <w:rPr>
                <w:rFonts w:ascii="Garamond" w:eastAsia="Garamond" w:hAnsi="Garamond" w:cs="Garamond"/>
                <w:b/>
                <w:sz w:val="24"/>
                <w:szCs w:val="24"/>
              </w:rPr>
            </w:pPr>
            <w:r>
              <w:rPr>
                <w:rFonts w:ascii="Garamond" w:eastAsia="Garamond" w:hAnsi="Garamond" w:cs="Garamond"/>
                <w:b/>
                <w:sz w:val="24"/>
                <w:szCs w:val="24"/>
              </w:rPr>
              <w:t>Conference:</w:t>
            </w:r>
          </w:p>
        </w:tc>
        <w:tc>
          <w:tcPr>
            <w:tcW w:w="3083" w:type="dxa"/>
            <w:vAlign w:val="center"/>
          </w:tcPr>
          <w:p w:rsidR="006E0807" w:rsidRDefault="00836F48">
            <w:pPr>
              <w:rPr>
                <w:i/>
                <w:sz w:val="20"/>
                <w:szCs w:val="20"/>
              </w:rPr>
            </w:pPr>
            <w:r>
              <w:rPr>
                <w:i/>
              </w:rPr>
              <w:t>1</w:t>
            </w:r>
            <w:r>
              <w:rPr>
                <w:i/>
                <w:vertAlign w:val="superscript"/>
              </w:rPr>
              <w:t>st</w:t>
            </w:r>
            <w:r>
              <w:rPr>
                <w:i/>
              </w:rPr>
              <w:t xml:space="preserve">  period </w:t>
            </w:r>
            <w:r>
              <w:rPr>
                <w:i/>
                <w:sz w:val="20"/>
                <w:szCs w:val="20"/>
              </w:rPr>
              <w:t>(A Days,8:45-10:15)</w:t>
            </w:r>
          </w:p>
        </w:tc>
      </w:tr>
    </w:tbl>
    <w:p w:rsidR="006E0807" w:rsidRDefault="006E0807"/>
    <w:p w:rsidR="006E0807" w:rsidRDefault="00836F48">
      <w:pPr>
        <w:pStyle w:val="Heading2"/>
        <w:rPr>
          <w:rFonts w:ascii="Arial" w:eastAsia="Arial" w:hAnsi="Arial" w:cs="Arial"/>
          <w:sz w:val="22"/>
          <w:szCs w:val="22"/>
        </w:rPr>
      </w:pPr>
      <w:r>
        <w:t xml:space="preserve">Course Description  </w:t>
      </w:r>
      <w:r>
        <w:rPr>
          <w:rFonts w:ascii="Arial" w:eastAsia="Arial" w:hAnsi="Arial" w:cs="Arial"/>
          <w:sz w:val="22"/>
          <w:szCs w:val="22"/>
        </w:rPr>
        <w:t xml:space="preserve">  </w:t>
      </w:r>
      <w:hyperlink r:id="rId7">
        <w:r>
          <w:rPr>
            <w:color w:val="000000"/>
            <w:sz w:val="20"/>
            <w:szCs w:val="20"/>
            <w:u w:val="single"/>
          </w:rPr>
          <w:t>http://tea.texas.gov/curriculum/teks/</w:t>
        </w:r>
      </w:hyperlink>
    </w:p>
    <w:p w:rsidR="006E0807" w:rsidRDefault="00836F48">
      <w:pPr>
        <w:spacing w:line="240" w:lineRule="auto"/>
        <w:rPr>
          <w:sz w:val="18"/>
          <w:szCs w:val="18"/>
          <w:highlight w:val="white"/>
        </w:rPr>
      </w:pPr>
      <w:r>
        <w:rPr>
          <w:sz w:val="18"/>
          <w:szCs w:val="18"/>
          <w:highlight w:val="white"/>
        </w:rPr>
        <w:t>The English Language Arts and Reading Texas Essential Knowledge and Skills (TEKS) are organized into the following strands: Reading, where students read and understand a wide variety of literary and informational texts; Writing, where students compose a va</w:t>
      </w:r>
      <w:r>
        <w:rPr>
          <w:sz w:val="18"/>
          <w:szCs w:val="18"/>
          <w:highlight w:val="white"/>
        </w:rPr>
        <w:t>riety of written texts with a clear controlling idea, coherent organization, and sufficient detail; Research, where students are expected to know how to locate a range of relevant sources and evaluate, synthesize, and present ideas and information; Listeni</w:t>
      </w:r>
      <w:r>
        <w:rPr>
          <w:sz w:val="18"/>
          <w:szCs w:val="18"/>
          <w:highlight w:val="white"/>
        </w:rPr>
        <w:t>ng and Speaking, where students listen and respond to the ideas of others while contributing their own ideas in conversations and in groups; and Oral and Written Conventions, where students learn how to use the oral and written conventions of the English l</w:t>
      </w:r>
      <w:r>
        <w:rPr>
          <w:sz w:val="18"/>
          <w:szCs w:val="18"/>
          <w:highlight w:val="white"/>
        </w:rPr>
        <w:t>anguage in speaking and writing. The standards are cumulative--students will continue to address earlier standards as needed while they attend to standards for their grade. Students should read and write on a daily basis.</w:t>
      </w:r>
    </w:p>
    <w:p w:rsidR="006E0807" w:rsidRDefault="00836F48">
      <w:pPr>
        <w:rPr>
          <w:sz w:val="20"/>
          <w:szCs w:val="20"/>
        </w:rPr>
      </w:pPr>
      <w:r>
        <w:t xml:space="preserve">                                  </w:t>
      </w:r>
      <w:r>
        <w:t xml:space="preserve">                                        </w:t>
      </w:r>
      <w:r>
        <w:tab/>
      </w:r>
      <w:r>
        <w:tab/>
        <w:t xml:space="preserve"> </w:t>
      </w:r>
    </w:p>
    <w:p w:rsidR="006E0807" w:rsidRDefault="00836F48">
      <w:pPr>
        <w:pStyle w:val="Heading2"/>
      </w:pPr>
      <w:r>
        <w:t>Course Materials</w:t>
      </w:r>
    </w:p>
    <w:p w:rsidR="006E0807" w:rsidRDefault="00836F48">
      <w:r>
        <w:t>English II General: Prentice Hall Literature and Writing Coach 10</w:t>
      </w:r>
      <w:r>
        <w:rPr>
          <w:vertAlign w:val="superscript"/>
        </w:rPr>
        <w:t>th</w:t>
      </w:r>
      <w:r>
        <w:t xml:space="preserve"> grade</w:t>
      </w:r>
    </w:p>
    <w:p w:rsidR="006E0807" w:rsidRDefault="00836F48">
      <w:r>
        <w:t>English II Pre-AP &amp; General: Level 5 Springboard, various novels, laptops</w:t>
      </w:r>
    </w:p>
    <w:p w:rsidR="006E0807" w:rsidRDefault="00836F48">
      <w:pPr>
        <w:pBdr>
          <w:top w:val="nil"/>
          <w:left w:val="nil"/>
          <w:bottom w:val="nil"/>
          <w:right w:val="nil"/>
          <w:between w:val="nil"/>
        </w:pBdr>
        <w:rPr>
          <w:color w:val="000000"/>
          <w:sz w:val="20"/>
          <w:szCs w:val="20"/>
        </w:rPr>
        <w:sectPr w:rsidR="006E0807">
          <w:headerReference w:type="default" r:id="rId8"/>
          <w:footerReference w:type="default" r:id="rId9"/>
          <w:headerReference w:type="first" r:id="rId10"/>
          <w:pgSz w:w="12240" w:h="15840"/>
          <w:pgMar w:top="1440" w:right="1440" w:bottom="360" w:left="1440" w:header="1008" w:footer="720" w:gutter="0"/>
          <w:pgNumType w:start="1"/>
          <w:cols w:space="720"/>
          <w:titlePg/>
        </w:sectPr>
      </w:pPr>
      <w:r>
        <w:t>All supplies are available at each student center in the classroom</w:t>
      </w:r>
    </w:p>
    <w:p w:rsidR="006E0807" w:rsidRDefault="006E0807">
      <w:pPr>
        <w:rPr>
          <w:sz w:val="20"/>
          <w:szCs w:val="20"/>
        </w:rPr>
      </w:pPr>
    </w:p>
    <w:p w:rsidR="006E0807" w:rsidRDefault="00836F48">
      <w:pPr>
        <w:rPr>
          <w:sz w:val="20"/>
          <w:szCs w:val="20"/>
        </w:rPr>
      </w:pPr>
      <w:r>
        <w:rPr>
          <w:sz w:val="20"/>
          <w:szCs w:val="20"/>
        </w:rPr>
        <w:t>*Occasionally, non-standard supplies will be required to complete student project deliverables (e.g. poster board, colored paper, etc.).</w:t>
      </w:r>
    </w:p>
    <w:p w:rsidR="006E0807" w:rsidRDefault="00836F48">
      <w:pPr>
        <w:pStyle w:val="Heading2"/>
      </w:pPr>
      <w:r>
        <w:t>Grading Policy &amp; Scale</w:t>
      </w:r>
      <w:r>
        <w:rPr>
          <w:noProof/>
        </w:rPr>
        <w:drawing>
          <wp:anchor distT="0" distB="0" distL="114300" distR="114300" simplePos="0" relativeHeight="251658240" behindDoc="0" locked="0" layoutInCell="1" hidden="0" allowOverlap="1">
            <wp:simplePos x="0" y="0"/>
            <wp:positionH relativeFrom="margin">
              <wp:posOffset>3759200</wp:posOffset>
            </wp:positionH>
            <wp:positionV relativeFrom="paragraph">
              <wp:posOffset>405130</wp:posOffset>
            </wp:positionV>
            <wp:extent cx="2260600" cy="1828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260600" cy="1828800"/>
                    </a:xfrm>
                    <a:prstGeom prst="rect">
                      <a:avLst/>
                    </a:prstGeom>
                    <a:ln/>
                  </pic:spPr>
                </pic:pic>
              </a:graphicData>
            </a:graphic>
          </wp:anchor>
        </w:drawing>
      </w:r>
    </w:p>
    <w:p w:rsidR="006E0807" w:rsidRDefault="006E0807">
      <w:pPr>
        <w:sectPr w:rsidR="006E0807">
          <w:type w:val="continuous"/>
          <w:pgSz w:w="12240" w:h="15840"/>
          <w:pgMar w:top="1440" w:right="1440" w:bottom="360" w:left="1440" w:header="1008" w:footer="720" w:gutter="0"/>
          <w:cols w:space="720"/>
        </w:sectPr>
      </w:pPr>
    </w:p>
    <w:p w:rsidR="006E0807" w:rsidRDefault="00836F48">
      <w:pPr>
        <w:rPr>
          <w:sz w:val="20"/>
          <w:szCs w:val="20"/>
        </w:rPr>
      </w:pPr>
      <w:r>
        <w:rPr>
          <w:sz w:val="20"/>
          <w:szCs w:val="20"/>
        </w:rPr>
        <w:lastRenderedPageBreak/>
        <w:t>Students’ grades will be calculated as follows:</w:t>
      </w:r>
    </w:p>
    <w:p w:rsidR="006E0807" w:rsidRDefault="00836F48">
      <w:pPr>
        <w:numPr>
          <w:ilvl w:val="0"/>
          <w:numId w:val="3"/>
        </w:numPr>
        <w:pBdr>
          <w:top w:val="nil"/>
          <w:left w:val="nil"/>
          <w:bottom w:val="nil"/>
          <w:right w:val="nil"/>
          <w:between w:val="nil"/>
        </w:pBdr>
        <w:ind w:left="0" w:firstLine="0"/>
        <w:contextualSpacing/>
        <w:rPr>
          <w:color w:val="000000"/>
          <w:sz w:val="20"/>
          <w:szCs w:val="20"/>
        </w:rPr>
      </w:pPr>
      <w:r>
        <w:rPr>
          <w:color w:val="000000"/>
          <w:sz w:val="20"/>
          <w:szCs w:val="20"/>
        </w:rPr>
        <w:t>Assessment Performance (40%)</w:t>
      </w:r>
    </w:p>
    <w:p w:rsidR="006E0807" w:rsidRDefault="00836F48">
      <w:pPr>
        <w:numPr>
          <w:ilvl w:val="0"/>
          <w:numId w:val="3"/>
        </w:numPr>
        <w:pBdr>
          <w:top w:val="nil"/>
          <w:left w:val="nil"/>
          <w:bottom w:val="nil"/>
          <w:right w:val="nil"/>
          <w:between w:val="nil"/>
        </w:pBdr>
        <w:ind w:left="0" w:firstLine="0"/>
        <w:contextualSpacing/>
        <w:rPr>
          <w:color w:val="000000"/>
          <w:sz w:val="20"/>
          <w:szCs w:val="20"/>
        </w:rPr>
      </w:pPr>
      <w:r>
        <w:rPr>
          <w:color w:val="000000"/>
          <w:sz w:val="20"/>
          <w:szCs w:val="20"/>
        </w:rPr>
        <w:t>Class Work &amp; Homework Performance (60%)</w:t>
      </w:r>
    </w:p>
    <w:p w:rsidR="006E0807" w:rsidRDefault="00836F48">
      <w:pPr>
        <w:rPr>
          <w:sz w:val="20"/>
          <w:szCs w:val="20"/>
        </w:rPr>
      </w:pPr>
      <w:r>
        <w:rPr>
          <w:sz w:val="20"/>
          <w:szCs w:val="20"/>
        </w:rPr>
        <w:t>The following grade scale will be utilized for recording students’ grades:</w:t>
      </w:r>
    </w:p>
    <w:tbl>
      <w:tblPr>
        <w:tblStyle w:val="a0"/>
        <w:tblW w:w="5578"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370"/>
        <w:gridCol w:w="4208"/>
      </w:tblGrid>
      <w:tr w:rsidR="006E0807">
        <w:trPr>
          <w:trHeight w:val="180"/>
        </w:trPr>
        <w:tc>
          <w:tcPr>
            <w:tcW w:w="1370" w:type="dxa"/>
            <w:vAlign w:val="center"/>
          </w:tcPr>
          <w:p w:rsidR="006E0807" w:rsidRDefault="00836F48">
            <w:pPr>
              <w:rPr>
                <w:sz w:val="20"/>
                <w:szCs w:val="20"/>
              </w:rPr>
            </w:pPr>
            <w:r>
              <w:rPr>
                <w:sz w:val="20"/>
                <w:szCs w:val="20"/>
              </w:rPr>
              <w:t>A</w:t>
            </w:r>
          </w:p>
        </w:tc>
        <w:tc>
          <w:tcPr>
            <w:tcW w:w="4208" w:type="dxa"/>
            <w:vAlign w:val="center"/>
          </w:tcPr>
          <w:p w:rsidR="006E0807" w:rsidRDefault="00836F48">
            <w:pPr>
              <w:rPr>
                <w:sz w:val="20"/>
                <w:szCs w:val="20"/>
              </w:rPr>
            </w:pPr>
            <w:r>
              <w:rPr>
                <w:sz w:val="20"/>
                <w:szCs w:val="20"/>
              </w:rPr>
              <w:t>90-100</w:t>
            </w:r>
          </w:p>
        </w:tc>
      </w:tr>
      <w:tr w:rsidR="006E0807">
        <w:trPr>
          <w:trHeight w:val="180"/>
        </w:trPr>
        <w:tc>
          <w:tcPr>
            <w:tcW w:w="1370" w:type="dxa"/>
            <w:vAlign w:val="center"/>
          </w:tcPr>
          <w:p w:rsidR="006E0807" w:rsidRDefault="00836F48">
            <w:pPr>
              <w:rPr>
                <w:sz w:val="20"/>
                <w:szCs w:val="20"/>
              </w:rPr>
            </w:pPr>
            <w:r>
              <w:rPr>
                <w:sz w:val="20"/>
                <w:szCs w:val="20"/>
              </w:rPr>
              <w:t>B</w:t>
            </w:r>
          </w:p>
        </w:tc>
        <w:tc>
          <w:tcPr>
            <w:tcW w:w="4208" w:type="dxa"/>
            <w:vAlign w:val="center"/>
          </w:tcPr>
          <w:p w:rsidR="006E0807" w:rsidRDefault="00836F48">
            <w:pPr>
              <w:rPr>
                <w:sz w:val="20"/>
                <w:szCs w:val="20"/>
              </w:rPr>
            </w:pPr>
            <w:r>
              <w:rPr>
                <w:sz w:val="20"/>
                <w:szCs w:val="20"/>
              </w:rPr>
              <w:t>80-89</w:t>
            </w:r>
          </w:p>
        </w:tc>
      </w:tr>
      <w:tr w:rsidR="006E0807">
        <w:trPr>
          <w:trHeight w:val="180"/>
        </w:trPr>
        <w:tc>
          <w:tcPr>
            <w:tcW w:w="1370" w:type="dxa"/>
            <w:vAlign w:val="center"/>
          </w:tcPr>
          <w:p w:rsidR="006E0807" w:rsidRDefault="00836F48">
            <w:pPr>
              <w:rPr>
                <w:sz w:val="20"/>
                <w:szCs w:val="20"/>
              </w:rPr>
            </w:pPr>
            <w:r>
              <w:rPr>
                <w:sz w:val="20"/>
                <w:szCs w:val="20"/>
              </w:rPr>
              <w:t>C</w:t>
            </w:r>
          </w:p>
        </w:tc>
        <w:tc>
          <w:tcPr>
            <w:tcW w:w="4208" w:type="dxa"/>
            <w:vAlign w:val="center"/>
          </w:tcPr>
          <w:p w:rsidR="006E0807" w:rsidRDefault="00836F48">
            <w:pPr>
              <w:rPr>
                <w:sz w:val="20"/>
                <w:szCs w:val="20"/>
              </w:rPr>
            </w:pPr>
            <w:r>
              <w:rPr>
                <w:sz w:val="20"/>
                <w:szCs w:val="20"/>
              </w:rPr>
              <w:t>75-79</w:t>
            </w:r>
          </w:p>
        </w:tc>
      </w:tr>
      <w:tr w:rsidR="006E0807">
        <w:trPr>
          <w:trHeight w:val="180"/>
        </w:trPr>
        <w:tc>
          <w:tcPr>
            <w:tcW w:w="1370" w:type="dxa"/>
            <w:vAlign w:val="center"/>
          </w:tcPr>
          <w:p w:rsidR="006E0807" w:rsidRDefault="00836F48">
            <w:pPr>
              <w:rPr>
                <w:sz w:val="20"/>
                <w:szCs w:val="20"/>
              </w:rPr>
            </w:pPr>
            <w:r>
              <w:rPr>
                <w:sz w:val="20"/>
                <w:szCs w:val="20"/>
              </w:rPr>
              <w:t>D</w:t>
            </w:r>
          </w:p>
        </w:tc>
        <w:tc>
          <w:tcPr>
            <w:tcW w:w="4208" w:type="dxa"/>
            <w:vAlign w:val="center"/>
          </w:tcPr>
          <w:p w:rsidR="006E0807" w:rsidRDefault="00836F48">
            <w:pPr>
              <w:rPr>
                <w:sz w:val="20"/>
                <w:szCs w:val="20"/>
              </w:rPr>
            </w:pPr>
            <w:r>
              <w:rPr>
                <w:sz w:val="20"/>
                <w:szCs w:val="20"/>
              </w:rPr>
              <w:t>70-74</w:t>
            </w:r>
          </w:p>
        </w:tc>
      </w:tr>
      <w:tr w:rsidR="006E0807">
        <w:trPr>
          <w:trHeight w:val="180"/>
        </w:trPr>
        <w:tc>
          <w:tcPr>
            <w:tcW w:w="1370" w:type="dxa"/>
            <w:vAlign w:val="center"/>
          </w:tcPr>
          <w:p w:rsidR="006E0807" w:rsidRDefault="00836F48">
            <w:pPr>
              <w:rPr>
                <w:sz w:val="20"/>
                <w:szCs w:val="20"/>
              </w:rPr>
            </w:pPr>
            <w:r>
              <w:rPr>
                <w:sz w:val="20"/>
                <w:szCs w:val="20"/>
              </w:rPr>
              <w:t>F</w:t>
            </w:r>
          </w:p>
        </w:tc>
        <w:tc>
          <w:tcPr>
            <w:tcW w:w="4208" w:type="dxa"/>
            <w:vAlign w:val="center"/>
          </w:tcPr>
          <w:p w:rsidR="006E0807" w:rsidRDefault="00836F48">
            <w:pPr>
              <w:rPr>
                <w:sz w:val="20"/>
                <w:szCs w:val="20"/>
              </w:rPr>
            </w:pPr>
            <w:r>
              <w:rPr>
                <w:sz w:val="20"/>
                <w:szCs w:val="20"/>
              </w:rPr>
              <w:t>0-69</w:t>
            </w:r>
          </w:p>
        </w:tc>
      </w:tr>
      <w:tr w:rsidR="006E0807">
        <w:trPr>
          <w:trHeight w:val="180"/>
        </w:trPr>
        <w:tc>
          <w:tcPr>
            <w:tcW w:w="5578" w:type="dxa"/>
            <w:gridSpan w:val="2"/>
            <w:vAlign w:val="center"/>
          </w:tcPr>
          <w:p w:rsidR="006E0807" w:rsidRDefault="00836F48">
            <w:pPr>
              <w:rPr>
                <w:b/>
                <w:i/>
                <w:sz w:val="16"/>
                <w:szCs w:val="16"/>
                <w:u w:val="single"/>
              </w:rPr>
            </w:pPr>
            <w:r>
              <w:rPr>
                <w:b/>
                <w:i/>
                <w:sz w:val="16"/>
                <w:szCs w:val="16"/>
              </w:rPr>
              <w:t xml:space="preserve">In addition to progress reports every three weeks, parents and students have access to iData to monitor grades, assignments, and attendance. Ultimately, </w:t>
            </w:r>
            <w:r>
              <w:rPr>
                <w:b/>
                <w:i/>
                <w:sz w:val="16"/>
                <w:szCs w:val="16"/>
                <w:u w:val="single"/>
              </w:rPr>
              <w:t>students are responsible for their own grades and attendance.</w:t>
            </w:r>
          </w:p>
        </w:tc>
      </w:tr>
    </w:tbl>
    <w:p w:rsidR="006E0807" w:rsidRDefault="00836F48">
      <w:pPr>
        <w:pStyle w:val="Heading2"/>
      </w:pPr>
      <w:r>
        <w:br w:type="page"/>
      </w:r>
    </w:p>
    <w:p w:rsidR="006E0807" w:rsidRDefault="00836F48">
      <w:pPr>
        <w:pStyle w:val="Heading2"/>
      </w:pPr>
      <w:r>
        <w:lastRenderedPageBreak/>
        <w:t>Class Expectations</w:t>
      </w:r>
    </w:p>
    <w:p w:rsidR="006E0807" w:rsidRDefault="00836F48">
      <w:pPr>
        <w:rPr>
          <w:sz w:val="20"/>
          <w:szCs w:val="20"/>
        </w:rPr>
      </w:pPr>
      <w:r>
        <w:rPr>
          <w:sz w:val="20"/>
          <w:szCs w:val="20"/>
        </w:rPr>
        <w:t>All students must f</w:t>
      </w:r>
      <w:r>
        <w:rPr>
          <w:sz w:val="20"/>
          <w:szCs w:val="20"/>
        </w:rPr>
        <w:t>ollow the student code of conduct as well as classroom and PBIS Behaviors:</w:t>
      </w:r>
    </w:p>
    <w:p w:rsidR="006E0807" w:rsidRDefault="00836F48">
      <w:pPr>
        <w:numPr>
          <w:ilvl w:val="0"/>
          <w:numId w:val="3"/>
        </w:numPr>
        <w:pBdr>
          <w:top w:val="nil"/>
          <w:left w:val="nil"/>
          <w:bottom w:val="nil"/>
          <w:right w:val="nil"/>
          <w:between w:val="nil"/>
        </w:pBdr>
        <w:contextualSpacing/>
        <w:rPr>
          <w:color w:val="000000"/>
          <w:sz w:val="20"/>
          <w:szCs w:val="20"/>
        </w:rPr>
      </w:pPr>
      <w:r>
        <w:rPr>
          <w:color w:val="000000"/>
          <w:sz w:val="20"/>
          <w:szCs w:val="20"/>
        </w:rPr>
        <w:t xml:space="preserve">Be in appropriate school uniform </w:t>
      </w:r>
    </w:p>
    <w:p w:rsidR="006E0807" w:rsidRDefault="00836F48">
      <w:pPr>
        <w:numPr>
          <w:ilvl w:val="0"/>
          <w:numId w:val="3"/>
        </w:numPr>
        <w:pBdr>
          <w:top w:val="nil"/>
          <w:left w:val="nil"/>
          <w:bottom w:val="nil"/>
          <w:right w:val="nil"/>
          <w:between w:val="nil"/>
        </w:pBdr>
        <w:contextualSpacing/>
        <w:rPr>
          <w:color w:val="000000"/>
          <w:sz w:val="20"/>
          <w:szCs w:val="20"/>
        </w:rPr>
      </w:pPr>
      <w:r>
        <w:rPr>
          <w:color w:val="000000"/>
          <w:sz w:val="20"/>
          <w:szCs w:val="20"/>
        </w:rPr>
        <w:t xml:space="preserve">Be on time </w:t>
      </w:r>
      <w:r>
        <w:rPr>
          <w:color w:val="000000"/>
          <w:sz w:val="20"/>
          <w:szCs w:val="20"/>
          <w:u w:val="single"/>
        </w:rPr>
        <w:t>and seated</w:t>
      </w:r>
      <w:r>
        <w:rPr>
          <w:color w:val="000000"/>
          <w:sz w:val="20"/>
          <w:szCs w:val="20"/>
        </w:rPr>
        <w:t xml:space="preserve"> before the tardy bell rings</w:t>
      </w:r>
    </w:p>
    <w:p w:rsidR="006E0807" w:rsidRDefault="00836F48">
      <w:pPr>
        <w:numPr>
          <w:ilvl w:val="0"/>
          <w:numId w:val="3"/>
        </w:numPr>
        <w:pBdr>
          <w:top w:val="nil"/>
          <w:left w:val="nil"/>
          <w:bottom w:val="nil"/>
          <w:right w:val="nil"/>
          <w:between w:val="nil"/>
        </w:pBdr>
        <w:contextualSpacing/>
        <w:rPr>
          <w:color w:val="000000"/>
          <w:sz w:val="20"/>
          <w:szCs w:val="20"/>
        </w:rPr>
      </w:pPr>
      <w:r>
        <w:rPr>
          <w:color w:val="000000"/>
          <w:sz w:val="20"/>
          <w:szCs w:val="20"/>
        </w:rPr>
        <w:t>Be prepared to learn with heads up and supplies ready</w:t>
      </w:r>
    </w:p>
    <w:p w:rsidR="006E0807" w:rsidRDefault="00836F48">
      <w:pPr>
        <w:numPr>
          <w:ilvl w:val="0"/>
          <w:numId w:val="3"/>
        </w:numPr>
        <w:pBdr>
          <w:top w:val="nil"/>
          <w:left w:val="nil"/>
          <w:bottom w:val="nil"/>
          <w:right w:val="nil"/>
          <w:between w:val="nil"/>
        </w:pBdr>
        <w:contextualSpacing/>
        <w:rPr>
          <w:color w:val="000000"/>
          <w:sz w:val="20"/>
          <w:szCs w:val="20"/>
        </w:rPr>
      </w:pPr>
      <w:r>
        <w:rPr>
          <w:color w:val="000000"/>
          <w:sz w:val="20"/>
          <w:szCs w:val="20"/>
        </w:rPr>
        <w:t>Use appropriate language at all times</w:t>
      </w:r>
    </w:p>
    <w:p w:rsidR="006E0807" w:rsidRDefault="00836F48">
      <w:pPr>
        <w:numPr>
          <w:ilvl w:val="0"/>
          <w:numId w:val="3"/>
        </w:numPr>
        <w:pBdr>
          <w:top w:val="nil"/>
          <w:left w:val="nil"/>
          <w:bottom w:val="nil"/>
          <w:right w:val="nil"/>
          <w:between w:val="nil"/>
        </w:pBdr>
        <w:contextualSpacing/>
        <w:rPr>
          <w:color w:val="000000"/>
          <w:sz w:val="20"/>
          <w:szCs w:val="20"/>
        </w:rPr>
      </w:pPr>
      <w:r>
        <w:rPr>
          <w:color w:val="000000"/>
          <w:sz w:val="20"/>
          <w:szCs w:val="20"/>
        </w:rPr>
        <w:t>Respect others and others’ property</w:t>
      </w:r>
    </w:p>
    <w:p w:rsidR="006E0807" w:rsidRDefault="00836F48">
      <w:pPr>
        <w:numPr>
          <w:ilvl w:val="0"/>
          <w:numId w:val="3"/>
        </w:numPr>
        <w:pBdr>
          <w:top w:val="nil"/>
          <w:left w:val="nil"/>
          <w:bottom w:val="nil"/>
          <w:right w:val="nil"/>
          <w:between w:val="nil"/>
        </w:pBdr>
        <w:contextualSpacing/>
        <w:rPr>
          <w:color w:val="000000"/>
          <w:sz w:val="20"/>
          <w:szCs w:val="20"/>
        </w:rPr>
      </w:pPr>
      <w:r>
        <w:rPr>
          <w:sz w:val="20"/>
          <w:szCs w:val="20"/>
        </w:rPr>
        <w:t>Cell phones can be put in the phone tree for extra credit and are otherwise not to be seen or used in class.</w:t>
      </w:r>
    </w:p>
    <w:p w:rsidR="006E0807" w:rsidRDefault="00836F48">
      <w:pPr>
        <w:numPr>
          <w:ilvl w:val="0"/>
          <w:numId w:val="3"/>
        </w:numPr>
        <w:pBdr>
          <w:top w:val="nil"/>
          <w:left w:val="nil"/>
          <w:bottom w:val="nil"/>
          <w:right w:val="nil"/>
          <w:between w:val="nil"/>
        </w:pBdr>
        <w:contextualSpacing/>
        <w:rPr>
          <w:sz w:val="20"/>
          <w:szCs w:val="20"/>
        </w:rPr>
      </w:pPr>
      <w:r>
        <w:rPr>
          <w:sz w:val="20"/>
          <w:szCs w:val="20"/>
        </w:rPr>
        <w:t>Earbuds should only be in use when student is working on independent activities requiring audio support.</w:t>
      </w:r>
    </w:p>
    <w:p w:rsidR="006E0807" w:rsidRDefault="00836F48">
      <w:pPr>
        <w:pStyle w:val="Heading2"/>
      </w:pPr>
      <w:r>
        <w:t>Classr</w:t>
      </w:r>
      <w:r>
        <w:t>oom Management System</w:t>
      </w:r>
    </w:p>
    <w:p w:rsidR="006E0807" w:rsidRDefault="00836F48">
      <w:pPr>
        <w:spacing w:after="160"/>
        <w:rPr>
          <w:rFonts w:ascii="Verdana" w:eastAsia="Verdana" w:hAnsi="Verdana" w:cs="Verdana"/>
          <w:i/>
          <w:color w:val="000000"/>
          <w:sz w:val="18"/>
          <w:szCs w:val="18"/>
        </w:rPr>
      </w:pPr>
      <w:r>
        <w:rPr>
          <w:u w:val="single"/>
        </w:rPr>
        <w:t>PBIS</w:t>
      </w:r>
      <w:r>
        <w:t>:  Positive Behavior Intervention is</w:t>
      </w:r>
      <w:r>
        <w:rPr>
          <w:rFonts w:ascii="Verdana" w:eastAsia="Verdana" w:hAnsi="Verdana" w:cs="Verdana"/>
          <w:color w:val="000000"/>
          <w:sz w:val="18"/>
          <w:szCs w:val="18"/>
        </w:rPr>
        <w:t xml:space="preserve"> a proactive and positive classroom management plan that will assist students as they transition through daily class activities by providing specific instruction on expectations. </w:t>
      </w:r>
      <w:r>
        <w:rPr>
          <w:rFonts w:ascii="Verdana" w:eastAsia="Verdana" w:hAnsi="Verdana" w:cs="Verdana"/>
          <w:sz w:val="18"/>
          <w:szCs w:val="18"/>
        </w:rPr>
        <w:t xml:space="preserve">Expectations will be created with students and posted as our </w:t>
      </w:r>
      <w:r>
        <w:rPr>
          <w:rFonts w:ascii="Verdana" w:eastAsia="Verdana" w:hAnsi="Verdana" w:cs="Verdana"/>
          <w:b/>
          <w:sz w:val="18"/>
          <w:szCs w:val="18"/>
        </w:rPr>
        <w:t>Treatment Agreement.</w:t>
      </w:r>
    </w:p>
    <w:p w:rsidR="006E0807" w:rsidRDefault="006E0807">
      <w:pPr>
        <w:rPr>
          <w:sz w:val="20"/>
          <w:szCs w:val="20"/>
        </w:rPr>
      </w:pPr>
    </w:p>
    <w:p w:rsidR="006E0807" w:rsidRDefault="00836F48">
      <w:pPr>
        <w:pStyle w:val="Heading2"/>
      </w:pPr>
      <w:r>
        <w:t>Consequences</w:t>
      </w:r>
    </w:p>
    <w:p w:rsidR="006E0807" w:rsidRDefault="00836F48">
      <w:pPr>
        <w:rPr>
          <w:sz w:val="20"/>
          <w:szCs w:val="20"/>
        </w:rPr>
      </w:pPr>
      <w:r>
        <w:rPr>
          <w:sz w:val="20"/>
          <w:szCs w:val="20"/>
        </w:rPr>
        <w:t>Students who do not comply with the Hurricane Rules will receive consequences that include, but are not limited to, the following (in no specific order):</w:t>
      </w:r>
    </w:p>
    <w:p w:rsidR="006E0807" w:rsidRDefault="006E0807">
      <w:pPr>
        <w:pBdr>
          <w:top w:val="nil"/>
          <w:left w:val="nil"/>
          <w:bottom w:val="nil"/>
          <w:right w:val="nil"/>
          <w:between w:val="nil"/>
        </w:pBdr>
        <w:ind w:left="720" w:hanging="360"/>
        <w:rPr>
          <w:color w:val="000000"/>
          <w:sz w:val="20"/>
          <w:szCs w:val="20"/>
        </w:rPr>
        <w:sectPr w:rsidR="006E0807">
          <w:type w:val="continuous"/>
          <w:pgSz w:w="12240" w:h="15840"/>
          <w:pgMar w:top="1440" w:right="1440" w:bottom="360" w:left="1440" w:header="1008" w:footer="720" w:gutter="0"/>
          <w:cols w:space="720"/>
        </w:sectPr>
      </w:pPr>
    </w:p>
    <w:p w:rsidR="006E0807" w:rsidRDefault="00836F48">
      <w:pPr>
        <w:numPr>
          <w:ilvl w:val="0"/>
          <w:numId w:val="1"/>
        </w:numPr>
        <w:pBdr>
          <w:top w:val="nil"/>
          <w:left w:val="nil"/>
          <w:bottom w:val="nil"/>
          <w:right w:val="nil"/>
          <w:between w:val="nil"/>
        </w:pBdr>
        <w:contextualSpacing/>
        <w:rPr>
          <w:color w:val="000000"/>
          <w:sz w:val="20"/>
          <w:szCs w:val="20"/>
        </w:rPr>
      </w:pPr>
      <w:r>
        <w:rPr>
          <w:color w:val="000000"/>
          <w:sz w:val="20"/>
          <w:szCs w:val="20"/>
        </w:rPr>
        <w:lastRenderedPageBreak/>
        <w:t>Student/Teacher Conference</w:t>
      </w:r>
    </w:p>
    <w:p w:rsidR="006E0807" w:rsidRDefault="00836F48">
      <w:pPr>
        <w:numPr>
          <w:ilvl w:val="0"/>
          <w:numId w:val="1"/>
        </w:numPr>
        <w:pBdr>
          <w:top w:val="nil"/>
          <w:left w:val="nil"/>
          <w:bottom w:val="nil"/>
          <w:right w:val="nil"/>
          <w:between w:val="nil"/>
        </w:pBdr>
        <w:contextualSpacing/>
        <w:rPr>
          <w:color w:val="000000"/>
          <w:sz w:val="20"/>
          <w:szCs w:val="20"/>
        </w:rPr>
      </w:pPr>
      <w:r>
        <w:rPr>
          <w:color w:val="000000"/>
          <w:sz w:val="20"/>
          <w:szCs w:val="20"/>
        </w:rPr>
        <w:t>Parent Contact</w:t>
      </w:r>
    </w:p>
    <w:p w:rsidR="006E0807" w:rsidRDefault="00836F48">
      <w:pPr>
        <w:numPr>
          <w:ilvl w:val="0"/>
          <w:numId w:val="1"/>
        </w:numPr>
        <w:pBdr>
          <w:top w:val="nil"/>
          <w:left w:val="nil"/>
          <w:bottom w:val="nil"/>
          <w:right w:val="nil"/>
          <w:between w:val="nil"/>
        </w:pBdr>
        <w:contextualSpacing/>
        <w:rPr>
          <w:color w:val="000000"/>
          <w:sz w:val="20"/>
          <w:szCs w:val="20"/>
        </w:rPr>
      </w:pPr>
      <w:r>
        <w:rPr>
          <w:color w:val="000000"/>
          <w:sz w:val="20"/>
          <w:szCs w:val="20"/>
        </w:rPr>
        <w:t>Parent/Teacher Conference</w:t>
      </w:r>
    </w:p>
    <w:p w:rsidR="006E0807" w:rsidRDefault="00836F48">
      <w:pPr>
        <w:numPr>
          <w:ilvl w:val="0"/>
          <w:numId w:val="1"/>
        </w:numPr>
        <w:pBdr>
          <w:top w:val="nil"/>
          <w:left w:val="nil"/>
          <w:bottom w:val="nil"/>
          <w:right w:val="nil"/>
          <w:between w:val="nil"/>
        </w:pBdr>
        <w:contextualSpacing/>
        <w:rPr>
          <w:color w:val="000000"/>
          <w:sz w:val="20"/>
          <w:szCs w:val="20"/>
        </w:rPr>
      </w:pPr>
      <w:r>
        <w:rPr>
          <w:color w:val="000000"/>
          <w:sz w:val="20"/>
          <w:szCs w:val="20"/>
        </w:rPr>
        <w:t>Counselor Support</w:t>
      </w:r>
    </w:p>
    <w:p w:rsidR="006E0807" w:rsidRDefault="00836F48">
      <w:pPr>
        <w:numPr>
          <w:ilvl w:val="0"/>
          <w:numId w:val="1"/>
        </w:numPr>
        <w:pBdr>
          <w:top w:val="nil"/>
          <w:left w:val="nil"/>
          <w:bottom w:val="nil"/>
          <w:right w:val="nil"/>
          <w:between w:val="nil"/>
        </w:pBdr>
        <w:contextualSpacing/>
        <w:rPr>
          <w:color w:val="000000"/>
          <w:sz w:val="20"/>
          <w:szCs w:val="20"/>
        </w:rPr>
      </w:pPr>
      <w:r>
        <w:rPr>
          <w:color w:val="000000"/>
          <w:sz w:val="20"/>
          <w:szCs w:val="20"/>
        </w:rPr>
        <w:lastRenderedPageBreak/>
        <w:t>Discipline Referral</w:t>
      </w:r>
    </w:p>
    <w:p w:rsidR="006E0807" w:rsidRDefault="00836F48">
      <w:pPr>
        <w:numPr>
          <w:ilvl w:val="0"/>
          <w:numId w:val="1"/>
        </w:numPr>
        <w:pBdr>
          <w:top w:val="nil"/>
          <w:left w:val="nil"/>
          <w:bottom w:val="nil"/>
          <w:right w:val="nil"/>
          <w:between w:val="nil"/>
        </w:pBdr>
        <w:contextualSpacing/>
        <w:rPr>
          <w:sz w:val="20"/>
          <w:szCs w:val="20"/>
        </w:rPr>
        <w:sectPr w:rsidR="006E0807">
          <w:type w:val="continuous"/>
          <w:pgSz w:w="12240" w:h="15840"/>
          <w:pgMar w:top="1440" w:right="1440" w:bottom="360" w:left="1440" w:header="1008" w:footer="720" w:gutter="0"/>
          <w:cols w:num="2" w:space="720" w:equalWidth="0">
            <w:col w:w="4320" w:space="720"/>
            <w:col w:w="4320" w:space="0"/>
          </w:cols>
        </w:sectPr>
      </w:pPr>
      <w:r>
        <w:rPr>
          <w:sz w:val="20"/>
          <w:szCs w:val="20"/>
        </w:rPr>
        <w:t>Suspension and possible removal from Pre-AP program</w:t>
      </w:r>
    </w:p>
    <w:p w:rsidR="006E0807" w:rsidRDefault="006E0807">
      <w:pPr>
        <w:spacing w:after="160"/>
      </w:pPr>
    </w:p>
    <w:p w:rsidR="006E0807" w:rsidRDefault="00836F48">
      <w:pPr>
        <w:pStyle w:val="Heading2"/>
      </w:pPr>
      <w:r>
        <w:t>Make-Up Work &amp; Re-Do Policy</w:t>
      </w:r>
    </w:p>
    <w:p w:rsidR="006E0807" w:rsidRDefault="00836F48">
      <w:pPr>
        <w:rPr>
          <w:sz w:val="20"/>
          <w:szCs w:val="20"/>
        </w:rPr>
      </w:pPr>
      <w:r>
        <w:rPr>
          <w:sz w:val="20"/>
          <w:szCs w:val="20"/>
        </w:rPr>
        <w:t>The curriculum syllabus and weekly lesson plans will be posted on our Google Classroom Page</w:t>
      </w:r>
    </w:p>
    <w:p w:rsidR="006E0807" w:rsidRDefault="00836F48">
      <w:pPr>
        <w:rPr>
          <w:sz w:val="20"/>
          <w:szCs w:val="20"/>
        </w:rPr>
      </w:pPr>
      <w:r>
        <w:rPr>
          <w:sz w:val="20"/>
          <w:szCs w:val="20"/>
        </w:rPr>
        <w:t>(</w:t>
      </w:r>
      <w:hyperlink r:id="rId12">
        <w:r>
          <w:rPr>
            <w:color w:val="0563C1"/>
            <w:sz w:val="20"/>
            <w:szCs w:val="20"/>
            <w:u w:val="single"/>
          </w:rPr>
          <w:t>https://classroom.google.com</w:t>
        </w:r>
      </w:hyperlink>
      <w:r>
        <w:rPr>
          <w:sz w:val="20"/>
          <w:szCs w:val="20"/>
        </w:rPr>
        <w:t xml:space="preserve"> ) as well as on my teacher webpage (</w:t>
      </w:r>
      <w:hyperlink r:id="rId13">
        <w:r>
          <w:rPr>
            <w:color w:val="0563C1"/>
            <w:sz w:val="20"/>
            <w:szCs w:val="20"/>
            <w:u w:val="single"/>
          </w:rPr>
          <w:t>https://schools.saisd.net/page/grobles3-Home</w:t>
        </w:r>
      </w:hyperlink>
      <w:r>
        <w:rPr>
          <w:sz w:val="20"/>
          <w:szCs w:val="20"/>
        </w:rPr>
        <w:t xml:space="preserve"> ).</w:t>
      </w:r>
    </w:p>
    <w:p w:rsidR="006E0807" w:rsidRDefault="006E0807">
      <w:pPr>
        <w:rPr>
          <w:sz w:val="20"/>
          <w:szCs w:val="20"/>
        </w:rPr>
      </w:pPr>
    </w:p>
    <w:p w:rsidR="006E0807" w:rsidRDefault="00836F48">
      <w:pPr>
        <w:rPr>
          <w:sz w:val="20"/>
          <w:szCs w:val="20"/>
        </w:rPr>
      </w:pPr>
      <w:r>
        <w:rPr>
          <w:sz w:val="20"/>
          <w:szCs w:val="20"/>
        </w:rPr>
        <w:t>Students and parents will have their own user accounts to be able to access the content on iData  Make up work and work needing to be reworked will be visible in iData. In addition, students ma</w:t>
      </w:r>
      <w:r>
        <w:rPr>
          <w:sz w:val="20"/>
          <w:szCs w:val="20"/>
        </w:rPr>
        <w:t>y see me during my tutorial times.  Detailed District Policy over make-up work and reworked assignments is clearly outlined in the Student Handbook.</w:t>
      </w:r>
    </w:p>
    <w:p w:rsidR="006E0807" w:rsidRDefault="006E0807">
      <w:pPr>
        <w:rPr>
          <w:sz w:val="20"/>
          <w:szCs w:val="20"/>
        </w:rPr>
      </w:pPr>
    </w:p>
    <w:p w:rsidR="006E0807" w:rsidRDefault="00836F48">
      <w:pPr>
        <w:pStyle w:val="Heading2"/>
      </w:pPr>
      <w:r>
        <w:t>Computer Usage</w:t>
      </w:r>
      <w:r>
        <w:rPr>
          <w:noProof/>
        </w:rPr>
        <w:drawing>
          <wp:anchor distT="0" distB="0" distL="114300" distR="114300" simplePos="0" relativeHeight="251659264" behindDoc="0" locked="0" layoutInCell="1" hidden="0" allowOverlap="1">
            <wp:simplePos x="0" y="0"/>
            <wp:positionH relativeFrom="margin">
              <wp:posOffset>15241</wp:posOffset>
            </wp:positionH>
            <wp:positionV relativeFrom="paragraph">
              <wp:posOffset>350520</wp:posOffset>
            </wp:positionV>
            <wp:extent cx="899795" cy="739140"/>
            <wp:effectExtent l="0" t="0" r="0" b="0"/>
            <wp:wrapSquare wrapText="bothSides" distT="0" distB="0" distL="114300" distR="114300"/>
            <wp:docPr id="2" name="image6.png" descr="http://p7cdn4static.sharpschool.com/UserFiles/Servers/Server_235957/Image/Desktop-Computer-Clipart-2.png"/>
            <wp:cNvGraphicFramePr/>
            <a:graphic xmlns:a="http://schemas.openxmlformats.org/drawingml/2006/main">
              <a:graphicData uri="http://schemas.openxmlformats.org/drawingml/2006/picture">
                <pic:pic xmlns:pic="http://schemas.openxmlformats.org/drawingml/2006/picture">
                  <pic:nvPicPr>
                    <pic:cNvPr id="0" name="image6.png" descr="http://p7cdn4static.sharpschool.com/UserFiles/Servers/Server_235957/Image/Desktop-Computer-Clipart-2.png"/>
                    <pic:cNvPicPr preferRelativeResize="0"/>
                  </pic:nvPicPr>
                  <pic:blipFill>
                    <a:blip r:embed="rId14"/>
                    <a:srcRect/>
                    <a:stretch>
                      <a:fillRect/>
                    </a:stretch>
                  </pic:blipFill>
                  <pic:spPr>
                    <a:xfrm>
                      <a:off x="0" y="0"/>
                      <a:ext cx="899795" cy="739140"/>
                    </a:xfrm>
                    <a:prstGeom prst="rect">
                      <a:avLst/>
                    </a:prstGeom>
                    <a:ln/>
                  </pic:spPr>
                </pic:pic>
              </a:graphicData>
            </a:graphic>
          </wp:anchor>
        </w:drawing>
      </w:r>
    </w:p>
    <w:p w:rsidR="006E0807" w:rsidRDefault="00836F48">
      <w:pPr>
        <w:rPr>
          <w:b/>
        </w:rPr>
      </w:pPr>
      <w:r>
        <w:rPr>
          <w:b/>
        </w:rPr>
        <w:t>Computers are to be used for educational purposes only.  By touching the computers, students agree to follow the SAISD Student Acceptable Use Policy for the Electronic Communications Systems.</w:t>
      </w:r>
    </w:p>
    <w:p w:rsidR="006E0807" w:rsidRDefault="006E0807">
      <w:pPr>
        <w:pBdr>
          <w:top w:val="nil"/>
          <w:left w:val="nil"/>
          <w:bottom w:val="nil"/>
          <w:right w:val="nil"/>
          <w:between w:val="nil"/>
        </w:pBdr>
        <w:tabs>
          <w:tab w:val="left" w:pos="720"/>
          <w:tab w:val="left" w:pos="2160"/>
        </w:tabs>
        <w:rPr>
          <w:color w:val="000000"/>
          <w:sz w:val="20"/>
          <w:szCs w:val="20"/>
        </w:rPr>
      </w:pPr>
    </w:p>
    <w:p w:rsidR="006E0807" w:rsidRDefault="00836F48">
      <w:pPr>
        <w:spacing w:after="160"/>
        <w:rPr>
          <w:sz w:val="18"/>
          <w:szCs w:val="18"/>
        </w:rPr>
      </w:pPr>
      <w:r>
        <w:rPr>
          <w:rFonts w:ascii="Garamond" w:eastAsia="Garamond" w:hAnsi="Garamond" w:cs="Garamond"/>
          <w:smallCaps/>
          <w:sz w:val="40"/>
          <w:szCs w:val="40"/>
        </w:rPr>
        <w:lastRenderedPageBreak/>
        <w:t>COLOSO Learning Objectives and Gradual Release of Responsibilit</w:t>
      </w:r>
      <w:r>
        <w:rPr>
          <w:rFonts w:ascii="Garamond" w:eastAsia="Garamond" w:hAnsi="Garamond" w:cs="Garamond"/>
          <w:smallCaps/>
          <w:sz w:val="40"/>
          <w:szCs w:val="40"/>
        </w:rPr>
        <w:t>y Instructional Model (daily grade)</w:t>
      </w:r>
    </w:p>
    <w:p w:rsidR="006E0807" w:rsidRDefault="00836F48">
      <w:pPr>
        <w:spacing w:after="160"/>
      </w:pPr>
      <w:r>
        <w:rPr>
          <w:b/>
          <w:u w:val="single"/>
        </w:rPr>
        <w:t>COLOSO</w:t>
      </w:r>
      <w:r>
        <w:t>:  ESC 20 has implemented a structure for daily content, language and social objectives (COLOSO).  This structure provides students with a clear focus for daily classroom instruction.</w:t>
      </w:r>
    </w:p>
    <w:p w:rsidR="006E0807" w:rsidRDefault="00836F48">
      <w:pPr>
        <w:numPr>
          <w:ilvl w:val="0"/>
          <w:numId w:val="2"/>
        </w:numPr>
        <w:pBdr>
          <w:top w:val="nil"/>
          <w:left w:val="nil"/>
          <w:bottom w:val="nil"/>
          <w:right w:val="nil"/>
          <w:between w:val="nil"/>
        </w:pBdr>
        <w:contextualSpacing/>
      </w:pPr>
      <w:r>
        <w:rPr>
          <w:color w:val="000000"/>
        </w:rPr>
        <w:t xml:space="preserve">Content Objective: tells what students will learn during the lesson. </w:t>
      </w:r>
    </w:p>
    <w:p w:rsidR="006E0807" w:rsidRDefault="00836F48">
      <w:pPr>
        <w:numPr>
          <w:ilvl w:val="1"/>
          <w:numId w:val="2"/>
        </w:numPr>
        <w:pBdr>
          <w:top w:val="nil"/>
          <w:left w:val="nil"/>
          <w:bottom w:val="nil"/>
          <w:right w:val="nil"/>
          <w:between w:val="nil"/>
        </w:pBdr>
        <w:contextualSpacing/>
      </w:pPr>
      <w:r>
        <w:rPr>
          <w:color w:val="000000"/>
        </w:rPr>
        <w:t xml:space="preserve">Example: “Students will reanalyze archetypes in mythic, traditional, and classic literature.”  </w:t>
      </w:r>
      <w:r>
        <w:rPr>
          <w:i/>
          <w:color w:val="000000"/>
        </w:rPr>
        <w:t>TEK 2b</w:t>
      </w:r>
      <w:r>
        <w:rPr>
          <w:color w:val="000000"/>
        </w:rPr>
        <w:t xml:space="preserve"> </w:t>
      </w:r>
    </w:p>
    <w:p w:rsidR="006E0807" w:rsidRDefault="00836F48">
      <w:pPr>
        <w:numPr>
          <w:ilvl w:val="0"/>
          <w:numId w:val="2"/>
        </w:numPr>
        <w:pBdr>
          <w:top w:val="nil"/>
          <w:left w:val="nil"/>
          <w:bottom w:val="nil"/>
          <w:right w:val="nil"/>
          <w:between w:val="nil"/>
        </w:pBdr>
        <w:contextualSpacing/>
      </w:pPr>
      <w:r>
        <w:rPr>
          <w:color w:val="000000"/>
        </w:rPr>
        <w:t>Language Objective: tells how the students will learn and/or demonstrate their mast</w:t>
      </w:r>
      <w:r>
        <w:rPr>
          <w:color w:val="000000"/>
        </w:rPr>
        <w:t xml:space="preserve">ery of the lesson by reading, speaking, writing, or listening. </w:t>
      </w:r>
    </w:p>
    <w:p w:rsidR="006E0807" w:rsidRDefault="00836F48">
      <w:pPr>
        <w:numPr>
          <w:ilvl w:val="1"/>
          <w:numId w:val="2"/>
        </w:numPr>
        <w:pBdr>
          <w:top w:val="nil"/>
          <w:left w:val="nil"/>
          <w:bottom w:val="nil"/>
          <w:right w:val="nil"/>
          <w:between w:val="nil"/>
        </w:pBdr>
        <w:contextualSpacing/>
      </w:pPr>
      <w:r>
        <w:rPr>
          <w:color w:val="000000"/>
        </w:rPr>
        <w:t>Example: “Students will use interactive notebooks to enhance understanding of key vocabulary and examples.</w:t>
      </w:r>
    </w:p>
    <w:p w:rsidR="006E0807" w:rsidRDefault="00836F48">
      <w:pPr>
        <w:numPr>
          <w:ilvl w:val="0"/>
          <w:numId w:val="2"/>
        </w:numPr>
        <w:pBdr>
          <w:top w:val="nil"/>
          <w:left w:val="nil"/>
          <w:bottom w:val="nil"/>
          <w:right w:val="nil"/>
          <w:between w:val="nil"/>
        </w:pBdr>
        <w:contextualSpacing/>
      </w:pPr>
      <w:r>
        <w:rPr>
          <w:color w:val="000000"/>
        </w:rPr>
        <w:t>Social Objective: tells what students will do as a physical activity. This includes i</w:t>
      </w:r>
      <w:r>
        <w:rPr>
          <w:color w:val="000000"/>
        </w:rPr>
        <w:t>nteracting with others within the classroom.</w:t>
      </w:r>
    </w:p>
    <w:p w:rsidR="006E0807" w:rsidRDefault="00836F48">
      <w:pPr>
        <w:numPr>
          <w:ilvl w:val="1"/>
          <w:numId w:val="2"/>
        </w:numPr>
        <w:pBdr>
          <w:top w:val="nil"/>
          <w:left w:val="nil"/>
          <w:bottom w:val="nil"/>
          <w:right w:val="nil"/>
          <w:between w:val="nil"/>
        </w:pBdr>
        <w:spacing w:after="160"/>
        <w:contextualSpacing/>
      </w:pPr>
      <w:r>
        <w:rPr>
          <w:color w:val="000000"/>
        </w:rPr>
        <w:t xml:space="preserve">Example: “Students will work in pairs and small groups to read common texts and identify archetypes. </w:t>
      </w:r>
    </w:p>
    <w:p w:rsidR="006E0807" w:rsidRDefault="00836F48">
      <w:pPr>
        <w:spacing w:after="160"/>
      </w:pPr>
      <w:r>
        <w:rPr>
          <w:b/>
          <w:u w:val="single"/>
        </w:rPr>
        <w:t>Gradual Release of Responsibility (GRR):</w:t>
      </w:r>
      <w:r>
        <w:t xml:space="preserve">  GRR is how learning will look in the classroom.</w:t>
      </w:r>
    </w:p>
    <w:p w:rsidR="006E0807" w:rsidRDefault="00836F48">
      <w:pPr>
        <w:spacing w:after="160"/>
        <w:sectPr w:rsidR="006E0807">
          <w:type w:val="continuous"/>
          <w:pgSz w:w="12240" w:h="15840"/>
          <w:pgMar w:top="1440" w:right="1440" w:bottom="360" w:left="1440" w:header="1008" w:footer="720" w:gutter="0"/>
          <w:cols w:space="720"/>
        </w:sectPr>
      </w:pPr>
      <w:r>
        <w:rPr>
          <w:noProof/>
        </w:rPr>
        <w:drawing>
          <wp:inline distT="0" distB="0" distL="0" distR="0">
            <wp:extent cx="5943600" cy="4205377"/>
            <wp:effectExtent l="0" t="0" r="0" b="0"/>
            <wp:docPr id="4" name="image8.png" descr="http://www.cisdctl.com/uploads/1/3/3/4/133401/7159198_orig.png"/>
            <wp:cNvGraphicFramePr/>
            <a:graphic xmlns:a="http://schemas.openxmlformats.org/drawingml/2006/main">
              <a:graphicData uri="http://schemas.openxmlformats.org/drawingml/2006/picture">
                <pic:pic xmlns:pic="http://schemas.openxmlformats.org/drawingml/2006/picture">
                  <pic:nvPicPr>
                    <pic:cNvPr id="0" name="image8.png" descr="http://www.cisdctl.com/uploads/1/3/3/4/133401/7159198_orig.png"/>
                    <pic:cNvPicPr preferRelativeResize="0"/>
                  </pic:nvPicPr>
                  <pic:blipFill>
                    <a:blip r:embed="rId15"/>
                    <a:srcRect/>
                    <a:stretch>
                      <a:fillRect/>
                    </a:stretch>
                  </pic:blipFill>
                  <pic:spPr>
                    <a:xfrm>
                      <a:off x="0" y="0"/>
                      <a:ext cx="5943600" cy="4205377"/>
                    </a:xfrm>
                    <a:prstGeom prst="rect">
                      <a:avLst/>
                    </a:prstGeom>
                    <a:ln/>
                  </pic:spPr>
                </pic:pic>
              </a:graphicData>
            </a:graphic>
          </wp:inline>
        </w:drawing>
      </w:r>
    </w:p>
    <w:p w:rsidR="006E0807" w:rsidRDefault="00836F48">
      <w:pPr>
        <w:pStyle w:val="Heading1"/>
        <w:jc w:val="center"/>
      </w:pPr>
      <w:r>
        <w:lastRenderedPageBreak/>
        <w:t>Parent/Stu</w:t>
      </w:r>
      <w:r>
        <w:t>dent Acknowledgement</w:t>
      </w:r>
    </w:p>
    <w:p w:rsidR="006E0807" w:rsidRDefault="006E0807">
      <w:pPr>
        <w:widowControl w:val="0"/>
        <w:spacing w:line="276" w:lineRule="auto"/>
      </w:pPr>
    </w:p>
    <w:tbl>
      <w:tblPr>
        <w:tblStyle w:val="a1"/>
        <w:tblW w:w="9350" w:type="dxa"/>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847"/>
        <w:gridCol w:w="2923"/>
        <w:gridCol w:w="1497"/>
        <w:gridCol w:w="3083"/>
      </w:tblGrid>
      <w:tr w:rsidR="006E0807">
        <w:trPr>
          <w:trHeight w:val="280"/>
          <w:jc w:val="center"/>
        </w:trPr>
        <w:tc>
          <w:tcPr>
            <w:tcW w:w="1847" w:type="dxa"/>
            <w:vAlign w:val="center"/>
          </w:tcPr>
          <w:p w:rsidR="006E0807" w:rsidRDefault="00836F48">
            <w:pPr>
              <w:jc w:val="center"/>
              <w:rPr>
                <w:rFonts w:ascii="Garamond" w:eastAsia="Garamond" w:hAnsi="Garamond" w:cs="Garamond"/>
                <w:b/>
                <w:sz w:val="24"/>
                <w:szCs w:val="24"/>
              </w:rPr>
            </w:pPr>
            <w:bookmarkStart w:id="1" w:name="_gjdgxs" w:colFirst="0" w:colLast="0"/>
            <w:bookmarkEnd w:id="1"/>
            <w:r>
              <w:rPr>
                <w:rFonts w:ascii="Garamond" w:eastAsia="Garamond" w:hAnsi="Garamond" w:cs="Garamond"/>
                <w:b/>
                <w:sz w:val="24"/>
                <w:szCs w:val="24"/>
              </w:rPr>
              <w:t>Course Names:</w:t>
            </w:r>
          </w:p>
        </w:tc>
        <w:tc>
          <w:tcPr>
            <w:tcW w:w="2923" w:type="dxa"/>
            <w:vAlign w:val="center"/>
          </w:tcPr>
          <w:p w:rsidR="006E0807" w:rsidRDefault="00836F48">
            <w:pPr>
              <w:jc w:val="center"/>
              <w:rPr>
                <w:i/>
              </w:rPr>
            </w:pPr>
            <w:r>
              <w:rPr>
                <w:i/>
              </w:rPr>
              <w:t>ENGLISH II,</w:t>
            </w:r>
          </w:p>
          <w:p w:rsidR="006E0807" w:rsidRDefault="00836F48">
            <w:pPr>
              <w:jc w:val="center"/>
              <w:rPr>
                <w:i/>
              </w:rPr>
            </w:pPr>
            <w:r>
              <w:rPr>
                <w:i/>
              </w:rPr>
              <w:t xml:space="preserve">ENGLISH II Pre-AP, </w:t>
            </w:r>
          </w:p>
        </w:tc>
        <w:tc>
          <w:tcPr>
            <w:tcW w:w="1497" w:type="dxa"/>
            <w:vAlign w:val="center"/>
          </w:tcPr>
          <w:p w:rsidR="006E0807" w:rsidRDefault="00836F48">
            <w:pPr>
              <w:jc w:val="center"/>
              <w:rPr>
                <w:rFonts w:ascii="Garamond" w:eastAsia="Garamond" w:hAnsi="Garamond" w:cs="Garamond"/>
                <w:b/>
                <w:sz w:val="24"/>
                <w:szCs w:val="24"/>
              </w:rPr>
            </w:pPr>
            <w:r>
              <w:rPr>
                <w:rFonts w:ascii="Garamond" w:eastAsia="Garamond" w:hAnsi="Garamond" w:cs="Garamond"/>
                <w:b/>
                <w:sz w:val="24"/>
                <w:szCs w:val="24"/>
              </w:rPr>
              <w:t xml:space="preserve">Teacher: </w:t>
            </w:r>
          </w:p>
        </w:tc>
        <w:tc>
          <w:tcPr>
            <w:tcW w:w="3083" w:type="dxa"/>
            <w:vAlign w:val="center"/>
          </w:tcPr>
          <w:p w:rsidR="006E0807" w:rsidRDefault="00836F48">
            <w:pPr>
              <w:jc w:val="center"/>
              <w:rPr>
                <w:i/>
              </w:rPr>
            </w:pPr>
            <w:r>
              <w:rPr>
                <w:i/>
              </w:rPr>
              <w:t>Mrs. G. Robles</w:t>
            </w:r>
          </w:p>
        </w:tc>
      </w:tr>
      <w:tr w:rsidR="006E0807">
        <w:trPr>
          <w:trHeight w:val="300"/>
          <w:jc w:val="center"/>
        </w:trPr>
        <w:tc>
          <w:tcPr>
            <w:tcW w:w="1847" w:type="dxa"/>
            <w:vAlign w:val="center"/>
          </w:tcPr>
          <w:p w:rsidR="006E0807" w:rsidRDefault="00836F48">
            <w:pPr>
              <w:jc w:val="center"/>
              <w:rPr>
                <w:rFonts w:ascii="Garamond" w:eastAsia="Garamond" w:hAnsi="Garamond" w:cs="Garamond"/>
                <w:b/>
                <w:sz w:val="24"/>
                <w:szCs w:val="24"/>
              </w:rPr>
            </w:pPr>
            <w:r>
              <w:rPr>
                <w:rFonts w:ascii="Garamond" w:eastAsia="Garamond" w:hAnsi="Garamond" w:cs="Garamond"/>
                <w:b/>
                <w:sz w:val="24"/>
                <w:szCs w:val="24"/>
              </w:rPr>
              <w:t>Year:</w:t>
            </w:r>
          </w:p>
        </w:tc>
        <w:tc>
          <w:tcPr>
            <w:tcW w:w="2923" w:type="dxa"/>
            <w:vAlign w:val="center"/>
          </w:tcPr>
          <w:p w:rsidR="006E0807" w:rsidRDefault="00836F48">
            <w:pPr>
              <w:jc w:val="center"/>
              <w:rPr>
                <w:i/>
              </w:rPr>
            </w:pPr>
            <w:r>
              <w:rPr>
                <w:i/>
              </w:rPr>
              <w:t>2018-2019</w:t>
            </w:r>
          </w:p>
        </w:tc>
        <w:tc>
          <w:tcPr>
            <w:tcW w:w="1497" w:type="dxa"/>
            <w:vAlign w:val="center"/>
          </w:tcPr>
          <w:p w:rsidR="006E0807" w:rsidRDefault="00836F48">
            <w:pPr>
              <w:jc w:val="center"/>
              <w:rPr>
                <w:rFonts w:ascii="Garamond" w:eastAsia="Garamond" w:hAnsi="Garamond" w:cs="Garamond"/>
                <w:b/>
                <w:sz w:val="24"/>
                <w:szCs w:val="24"/>
              </w:rPr>
            </w:pPr>
            <w:r>
              <w:rPr>
                <w:rFonts w:ascii="Garamond" w:eastAsia="Garamond" w:hAnsi="Garamond" w:cs="Garamond"/>
                <w:b/>
                <w:sz w:val="24"/>
                <w:szCs w:val="24"/>
              </w:rPr>
              <w:t>Email:</w:t>
            </w:r>
          </w:p>
        </w:tc>
        <w:tc>
          <w:tcPr>
            <w:tcW w:w="3083" w:type="dxa"/>
            <w:vAlign w:val="center"/>
          </w:tcPr>
          <w:p w:rsidR="006E0807" w:rsidRDefault="00836F48">
            <w:pPr>
              <w:jc w:val="center"/>
              <w:rPr>
                <w:i/>
              </w:rPr>
            </w:pPr>
            <w:r>
              <w:rPr>
                <w:i/>
              </w:rPr>
              <w:t>grobles3@saisd.net</w:t>
            </w:r>
          </w:p>
        </w:tc>
      </w:tr>
      <w:tr w:rsidR="006E0807">
        <w:trPr>
          <w:trHeight w:val="280"/>
          <w:jc w:val="center"/>
        </w:trPr>
        <w:tc>
          <w:tcPr>
            <w:tcW w:w="1847" w:type="dxa"/>
            <w:vAlign w:val="center"/>
          </w:tcPr>
          <w:p w:rsidR="006E0807" w:rsidRDefault="00836F48">
            <w:pPr>
              <w:jc w:val="center"/>
              <w:rPr>
                <w:rFonts w:ascii="Garamond" w:eastAsia="Garamond" w:hAnsi="Garamond" w:cs="Garamond"/>
                <w:b/>
                <w:sz w:val="24"/>
                <w:szCs w:val="24"/>
              </w:rPr>
            </w:pPr>
            <w:r>
              <w:rPr>
                <w:rFonts w:ascii="Garamond" w:eastAsia="Garamond" w:hAnsi="Garamond" w:cs="Garamond"/>
                <w:b/>
                <w:sz w:val="24"/>
                <w:szCs w:val="24"/>
              </w:rPr>
              <w:t>Course Credit:</w:t>
            </w:r>
          </w:p>
        </w:tc>
        <w:tc>
          <w:tcPr>
            <w:tcW w:w="2923" w:type="dxa"/>
            <w:vAlign w:val="center"/>
          </w:tcPr>
          <w:p w:rsidR="006E0807" w:rsidRDefault="00836F48">
            <w:pPr>
              <w:jc w:val="center"/>
              <w:rPr>
                <w:i/>
              </w:rPr>
            </w:pPr>
            <w:r>
              <w:rPr>
                <w:i/>
              </w:rPr>
              <w:t>1 CREDIT</w:t>
            </w:r>
          </w:p>
        </w:tc>
        <w:tc>
          <w:tcPr>
            <w:tcW w:w="1497" w:type="dxa"/>
            <w:vAlign w:val="center"/>
          </w:tcPr>
          <w:p w:rsidR="006E0807" w:rsidRDefault="00836F48">
            <w:pPr>
              <w:jc w:val="center"/>
              <w:rPr>
                <w:rFonts w:ascii="Garamond" w:eastAsia="Garamond" w:hAnsi="Garamond" w:cs="Garamond"/>
                <w:b/>
                <w:sz w:val="24"/>
                <w:szCs w:val="24"/>
              </w:rPr>
            </w:pPr>
            <w:r>
              <w:rPr>
                <w:rFonts w:ascii="Garamond" w:eastAsia="Garamond" w:hAnsi="Garamond" w:cs="Garamond"/>
                <w:b/>
                <w:sz w:val="24"/>
                <w:szCs w:val="24"/>
              </w:rPr>
              <w:t>Room:</w:t>
            </w:r>
          </w:p>
        </w:tc>
        <w:tc>
          <w:tcPr>
            <w:tcW w:w="3083" w:type="dxa"/>
            <w:vAlign w:val="center"/>
          </w:tcPr>
          <w:p w:rsidR="006E0807" w:rsidRDefault="00836F48">
            <w:pPr>
              <w:jc w:val="center"/>
              <w:rPr>
                <w:i/>
              </w:rPr>
            </w:pPr>
            <w:r>
              <w:rPr>
                <w:i/>
              </w:rPr>
              <w:t>618</w:t>
            </w:r>
          </w:p>
        </w:tc>
      </w:tr>
      <w:tr w:rsidR="006E0807">
        <w:trPr>
          <w:trHeight w:val="300"/>
          <w:jc w:val="center"/>
        </w:trPr>
        <w:tc>
          <w:tcPr>
            <w:tcW w:w="1847" w:type="dxa"/>
            <w:vAlign w:val="center"/>
          </w:tcPr>
          <w:p w:rsidR="006E0807" w:rsidRDefault="00836F48">
            <w:pPr>
              <w:jc w:val="center"/>
              <w:rPr>
                <w:rFonts w:ascii="Garamond" w:eastAsia="Garamond" w:hAnsi="Garamond" w:cs="Garamond"/>
                <w:b/>
                <w:sz w:val="24"/>
                <w:szCs w:val="24"/>
              </w:rPr>
            </w:pPr>
            <w:r>
              <w:rPr>
                <w:rFonts w:ascii="Garamond" w:eastAsia="Garamond" w:hAnsi="Garamond" w:cs="Garamond"/>
                <w:b/>
                <w:sz w:val="24"/>
                <w:szCs w:val="24"/>
              </w:rPr>
              <w:t>Grade:</w:t>
            </w:r>
          </w:p>
        </w:tc>
        <w:tc>
          <w:tcPr>
            <w:tcW w:w="2923" w:type="dxa"/>
            <w:vAlign w:val="center"/>
          </w:tcPr>
          <w:p w:rsidR="006E0807" w:rsidRDefault="00836F48">
            <w:pPr>
              <w:jc w:val="center"/>
              <w:rPr>
                <w:i/>
              </w:rPr>
            </w:pPr>
            <w:r>
              <w:rPr>
                <w:i/>
              </w:rPr>
              <w:t>10</w:t>
            </w:r>
          </w:p>
        </w:tc>
        <w:tc>
          <w:tcPr>
            <w:tcW w:w="1497" w:type="dxa"/>
            <w:vAlign w:val="center"/>
          </w:tcPr>
          <w:p w:rsidR="006E0807" w:rsidRDefault="00836F48">
            <w:pPr>
              <w:jc w:val="center"/>
              <w:rPr>
                <w:rFonts w:ascii="Garamond" w:eastAsia="Garamond" w:hAnsi="Garamond" w:cs="Garamond"/>
                <w:b/>
                <w:sz w:val="24"/>
                <w:szCs w:val="24"/>
              </w:rPr>
            </w:pPr>
            <w:r>
              <w:rPr>
                <w:rFonts w:ascii="Garamond" w:eastAsia="Garamond" w:hAnsi="Garamond" w:cs="Garamond"/>
                <w:b/>
                <w:sz w:val="24"/>
                <w:szCs w:val="24"/>
              </w:rPr>
              <w:t>Conference:</w:t>
            </w:r>
          </w:p>
        </w:tc>
        <w:tc>
          <w:tcPr>
            <w:tcW w:w="3083" w:type="dxa"/>
            <w:vAlign w:val="center"/>
          </w:tcPr>
          <w:p w:rsidR="006E0807" w:rsidRDefault="00836F48">
            <w:pPr>
              <w:rPr>
                <w:i/>
                <w:sz w:val="20"/>
                <w:szCs w:val="20"/>
              </w:rPr>
            </w:pPr>
            <w:r>
              <w:rPr>
                <w:i/>
              </w:rPr>
              <w:t>1</w:t>
            </w:r>
            <w:r>
              <w:rPr>
                <w:i/>
                <w:vertAlign w:val="superscript"/>
              </w:rPr>
              <w:t>st</w:t>
            </w:r>
            <w:r>
              <w:rPr>
                <w:i/>
              </w:rPr>
              <w:t xml:space="preserve">  period </w:t>
            </w:r>
            <w:r>
              <w:rPr>
                <w:i/>
                <w:sz w:val="20"/>
                <w:szCs w:val="20"/>
              </w:rPr>
              <w:t>(A Days,8:45-10:15)</w:t>
            </w:r>
          </w:p>
        </w:tc>
      </w:tr>
    </w:tbl>
    <w:p w:rsidR="006E0807" w:rsidRDefault="006E0807"/>
    <w:p w:rsidR="006E0807" w:rsidRDefault="00836F48">
      <w:pPr>
        <w:pBdr>
          <w:top w:val="single" w:sz="6" w:space="1" w:color="000000"/>
          <w:left w:val="single" w:sz="6" w:space="4" w:color="000000"/>
          <w:bottom w:val="single" w:sz="6" w:space="1" w:color="000000"/>
          <w:right w:val="single" w:sz="6" w:space="4" w:color="000000"/>
        </w:pBdr>
        <w:shd w:val="clear" w:color="auto" w:fill="D9D9D9"/>
        <w:rPr>
          <w:b/>
          <w:sz w:val="28"/>
          <w:szCs w:val="28"/>
        </w:rPr>
      </w:pPr>
      <w:r>
        <w:rPr>
          <w:b/>
          <w:sz w:val="28"/>
          <w:szCs w:val="28"/>
        </w:rPr>
        <w:t>Syllabus Acknowledgement</w:t>
      </w:r>
    </w:p>
    <w:p w:rsidR="006E0807" w:rsidRDefault="00836F48">
      <w:pPr>
        <w:jc w:val="both"/>
        <w:rPr>
          <w:i/>
          <w:sz w:val="24"/>
          <w:szCs w:val="24"/>
        </w:rPr>
      </w:pPr>
      <w:r>
        <w:rPr>
          <w:i/>
          <w:sz w:val="24"/>
          <w:szCs w:val="24"/>
        </w:rPr>
        <w:t>This acknowledgement form and contact information sheet must be completely filled out, signed, and returned to the teacher.  The student should then keep the syllabus in their binder for reference and documentation.</w:t>
      </w:r>
    </w:p>
    <w:p w:rsidR="006E0807" w:rsidRDefault="006E0807">
      <w:pPr>
        <w:jc w:val="both"/>
        <w:rPr>
          <w:sz w:val="24"/>
          <w:szCs w:val="24"/>
        </w:rPr>
      </w:pPr>
    </w:p>
    <w:p w:rsidR="006E0807" w:rsidRDefault="00836F48">
      <w:pPr>
        <w:jc w:val="both"/>
        <w:rPr>
          <w:sz w:val="24"/>
          <w:szCs w:val="24"/>
        </w:rPr>
      </w:pPr>
      <w:r>
        <w:rPr>
          <w:sz w:val="24"/>
          <w:szCs w:val="24"/>
        </w:rPr>
        <w:t>We acknowledge our responsibility to re</w:t>
      </w:r>
      <w:r>
        <w:rPr>
          <w:sz w:val="24"/>
          <w:szCs w:val="24"/>
        </w:rPr>
        <w:t>view this course syllabus.</w:t>
      </w:r>
    </w:p>
    <w:p w:rsidR="006E0807" w:rsidRDefault="006E0807">
      <w:pPr>
        <w:jc w:val="both"/>
        <w:rPr>
          <w:sz w:val="24"/>
          <w:szCs w:val="24"/>
        </w:rPr>
      </w:pPr>
    </w:p>
    <w:p w:rsidR="006E0807" w:rsidRDefault="00836F48">
      <w:pPr>
        <w:jc w:val="both"/>
        <w:rPr>
          <w:sz w:val="24"/>
          <w:szCs w:val="24"/>
        </w:rPr>
      </w:pPr>
      <w:r>
        <w:rPr>
          <w:sz w:val="24"/>
          <w:szCs w:val="24"/>
        </w:rPr>
        <w:t>We acknowledge that we have read, understood, and the student will comply with the expectations and guidelines presented in the course syllabus.</w:t>
      </w:r>
    </w:p>
    <w:p w:rsidR="006E0807" w:rsidRDefault="006E0807">
      <w:pPr>
        <w:tabs>
          <w:tab w:val="center" w:pos="6120"/>
        </w:tabs>
        <w:jc w:val="both"/>
        <w:rPr>
          <w:i/>
          <w:sz w:val="24"/>
          <w:szCs w:val="24"/>
        </w:rPr>
      </w:pPr>
    </w:p>
    <w:p w:rsidR="006E0807" w:rsidRDefault="006E0807">
      <w:pPr>
        <w:tabs>
          <w:tab w:val="right" w:pos="2880"/>
          <w:tab w:val="left" w:pos="3600"/>
          <w:tab w:val="right" w:pos="5040"/>
          <w:tab w:val="left" w:pos="5760"/>
          <w:tab w:val="right" w:pos="8640"/>
          <w:tab w:val="left" w:pos="9360"/>
          <w:tab w:val="right" w:pos="10800"/>
        </w:tabs>
        <w:jc w:val="both"/>
        <w:rPr>
          <w:sz w:val="24"/>
          <w:szCs w:val="24"/>
        </w:rPr>
      </w:pPr>
    </w:p>
    <w:p w:rsidR="006E0807" w:rsidRDefault="006E0807">
      <w:pPr>
        <w:tabs>
          <w:tab w:val="right" w:pos="2880"/>
          <w:tab w:val="left" w:pos="3600"/>
          <w:tab w:val="right" w:pos="5040"/>
          <w:tab w:val="left" w:pos="5760"/>
          <w:tab w:val="right" w:pos="8640"/>
          <w:tab w:val="left" w:pos="9360"/>
          <w:tab w:val="right" w:pos="10800"/>
        </w:tabs>
        <w:jc w:val="both"/>
        <w:rPr>
          <w:sz w:val="24"/>
          <w:szCs w:val="24"/>
        </w:rPr>
      </w:pPr>
    </w:p>
    <w:p w:rsidR="006E0807" w:rsidRDefault="00836F48">
      <w:pPr>
        <w:tabs>
          <w:tab w:val="right" w:pos="2880"/>
          <w:tab w:val="left" w:pos="3240"/>
          <w:tab w:val="right" w:pos="4680"/>
          <w:tab w:val="left" w:pos="5040"/>
          <w:tab w:val="right" w:pos="8280"/>
          <w:tab w:val="left" w:pos="8640"/>
          <w:tab w:val="right" w:pos="10800"/>
        </w:tabs>
        <w:jc w:val="both"/>
        <w:rPr>
          <w:sz w:val="24"/>
          <w:szCs w:val="24"/>
        </w:rPr>
      </w:pPr>
      <w:r>
        <w:rPr>
          <w:sz w:val="24"/>
          <w:szCs w:val="24"/>
        </w:rPr>
        <w:t>__________________________________    __________________________________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E0807" w:rsidRDefault="00836F48">
      <w:pPr>
        <w:tabs>
          <w:tab w:val="center" w:pos="1440"/>
          <w:tab w:val="center" w:pos="3960"/>
          <w:tab w:val="center" w:pos="6660"/>
          <w:tab w:val="center" w:pos="9360"/>
        </w:tabs>
        <w:jc w:val="both"/>
        <w:rPr>
          <w:sz w:val="24"/>
          <w:szCs w:val="24"/>
        </w:rPr>
      </w:pPr>
      <w:r>
        <w:rPr>
          <w:sz w:val="24"/>
          <w:szCs w:val="24"/>
        </w:rPr>
        <w:t>Student’s Signature</w:t>
      </w:r>
      <w:r>
        <w:rPr>
          <w:sz w:val="24"/>
          <w:szCs w:val="24"/>
        </w:rPr>
        <w:tab/>
      </w:r>
      <w:r>
        <w:rPr>
          <w:sz w:val="24"/>
          <w:szCs w:val="24"/>
        </w:rPr>
        <w:tab/>
        <w:t>Parent/Legal Guardian Signature</w:t>
      </w:r>
      <w:r>
        <w:rPr>
          <w:sz w:val="24"/>
          <w:szCs w:val="24"/>
        </w:rPr>
        <w:tab/>
        <w:t>Date</w:t>
      </w:r>
    </w:p>
    <w:p w:rsidR="006E0807" w:rsidRDefault="006E0807">
      <w:pPr>
        <w:tabs>
          <w:tab w:val="right" w:pos="10800"/>
        </w:tabs>
        <w:jc w:val="both"/>
        <w:rPr>
          <w:b/>
          <w:sz w:val="24"/>
          <w:szCs w:val="24"/>
        </w:rPr>
      </w:pPr>
    </w:p>
    <w:p w:rsidR="006E0807" w:rsidRDefault="006E0807">
      <w:pPr>
        <w:tabs>
          <w:tab w:val="right" w:pos="10800"/>
        </w:tabs>
        <w:jc w:val="both"/>
        <w:rPr>
          <w:b/>
          <w:sz w:val="24"/>
          <w:szCs w:val="24"/>
        </w:rPr>
      </w:pPr>
    </w:p>
    <w:p w:rsidR="006E0807" w:rsidRDefault="00836F48">
      <w:pPr>
        <w:tabs>
          <w:tab w:val="right" w:pos="10800"/>
        </w:tabs>
        <w:spacing w:line="360" w:lineRule="auto"/>
        <w:jc w:val="both"/>
        <w:rPr>
          <w:sz w:val="24"/>
          <w:szCs w:val="24"/>
        </w:rPr>
      </w:pPr>
      <w:r>
        <w:rPr>
          <w:sz w:val="24"/>
          <w:szCs w:val="24"/>
        </w:rPr>
        <w:t>Notes/Comments for the Teacher (preferential seating, special concerns/considerations, etc.):</w:t>
      </w:r>
    </w:p>
    <w:tbl>
      <w:tblPr>
        <w:tblStyle w:val="a2"/>
        <w:tblW w:w="1007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0070"/>
      </w:tblGrid>
      <w:tr w:rsidR="006E0807">
        <w:tc>
          <w:tcPr>
            <w:tcW w:w="10070" w:type="dxa"/>
          </w:tcPr>
          <w:p w:rsidR="006E0807" w:rsidRDefault="006E0807">
            <w:pPr>
              <w:tabs>
                <w:tab w:val="right" w:pos="10800"/>
              </w:tabs>
              <w:spacing w:line="480" w:lineRule="auto"/>
              <w:jc w:val="both"/>
            </w:pPr>
          </w:p>
        </w:tc>
      </w:tr>
      <w:tr w:rsidR="006E0807">
        <w:tc>
          <w:tcPr>
            <w:tcW w:w="10070" w:type="dxa"/>
          </w:tcPr>
          <w:p w:rsidR="006E0807" w:rsidRDefault="006E0807">
            <w:pPr>
              <w:tabs>
                <w:tab w:val="left" w:pos="6105"/>
              </w:tabs>
              <w:spacing w:line="480" w:lineRule="auto"/>
              <w:jc w:val="both"/>
            </w:pPr>
          </w:p>
        </w:tc>
      </w:tr>
      <w:tr w:rsidR="006E0807">
        <w:tc>
          <w:tcPr>
            <w:tcW w:w="10070" w:type="dxa"/>
          </w:tcPr>
          <w:p w:rsidR="006E0807" w:rsidRDefault="00836F48">
            <w:pPr>
              <w:tabs>
                <w:tab w:val="left" w:pos="6105"/>
              </w:tabs>
              <w:spacing w:line="480" w:lineRule="auto"/>
              <w:jc w:val="both"/>
            </w:pPr>
            <w:r>
              <w:tab/>
            </w:r>
          </w:p>
        </w:tc>
      </w:tr>
      <w:tr w:rsidR="006E0807">
        <w:tc>
          <w:tcPr>
            <w:tcW w:w="10070" w:type="dxa"/>
          </w:tcPr>
          <w:p w:rsidR="006E0807" w:rsidRDefault="006E0807">
            <w:pPr>
              <w:tabs>
                <w:tab w:val="right" w:pos="10800"/>
              </w:tabs>
              <w:spacing w:line="480" w:lineRule="auto"/>
              <w:jc w:val="both"/>
            </w:pPr>
          </w:p>
        </w:tc>
      </w:tr>
      <w:tr w:rsidR="006E0807">
        <w:tc>
          <w:tcPr>
            <w:tcW w:w="10070" w:type="dxa"/>
          </w:tcPr>
          <w:p w:rsidR="006E0807" w:rsidRDefault="006E0807">
            <w:pPr>
              <w:tabs>
                <w:tab w:val="right" w:pos="10800"/>
              </w:tabs>
              <w:spacing w:line="480" w:lineRule="auto"/>
              <w:jc w:val="both"/>
            </w:pPr>
          </w:p>
        </w:tc>
      </w:tr>
      <w:tr w:rsidR="006E0807">
        <w:tc>
          <w:tcPr>
            <w:tcW w:w="10070" w:type="dxa"/>
          </w:tcPr>
          <w:p w:rsidR="006E0807" w:rsidRDefault="006E0807">
            <w:pPr>
              <w:tabs>
                <w:tab w:val="right" w:pos="10800"/>
              </w:tabs>
              <w:spacing w:line="480" w:lineRule="auto"/>
              <w:jc w:val="both"/>
            </w:pPr>
          </w:p>
        </w:tc>
      </w:tr>
      <w:tr w:rsidR="006E0807">
        <w:tc>
          <w:tcPr>
            <w:tcW w:w="10070" w:type="dxa"/>
          </w:tcPr>
          <w:p w:rsidR="006E0807" w:rsidRDefault="006E0807">
            <w:pPr>
              <w:tabs>
                <w:tab w:val="right" w:pos="10800"/>
              </w:tabs>
              <w:spacing w:line="480" w:lineRule="auto"/>
              <w:jc w:val="both"/>
            </w:pPr>
          </w:p>
        </w:tc>
      </w:tr>
    </w:tbl>
    <w:p w:rsidR="006E0807" w:rsidRDefault="006E0807"/>
    <w:sectPr w:rsidR="006E0807">
      <w:type w:val="continuous"/>
      <w:pgSz w:w="12240" w:h="15840"/>
      <w:pgMar w:top="1440" w:right="1440" w:bottom="360" w:left="1440" w:header="100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F48" w:rsidRDefault="00836F48">
      <w:pPr>
        <w:spacing w:line="240" w:lineRule="auto"/>
      </w:pPr>
      <w:r>
        <w:separator/>
      </w:r>
    </w:p>
  </w:endnote>
  <w:endnote w:type="continuationSeparator" w:id="0">
    <w:p w:rsidR="00836F48" w:rsidRDefault="00836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807" w:rsidRDefault="00836F48">
    <w:pPr>
      <w:pBdr>
        <w:top w:val="nil"/>
        <w:left w:val="nil"/>
        <w:bottom w:val="nil"/>
        <w:right w:val="nil"/>
        <w:between w:val="nil"/>
      </w:pBdr>
      <w:tabs>
        <w:tab w:val="center" w:pos="4680"/>
        <w:tab w:val="right" w:pos="9360"/>
      </w:tabs>
      <w:spacing w:line="240" w:lineRule="auto"/>
      <w:jc w:val="right"/>
      <w:rPr>
        <w:color w:val="000000"/>
      </w:rPr>
    </w:pPr>
    <w:r>
      <w:rPr>
        <w:color w:val="000000"/>
      </w:rPr>
      <w:t xml:space="preserve">Page | </w:t>
    </w:r>
    <w:r>
      <w:rPr>
        <w:color w:val="000000"/>
      </w:rPr>
      <w:fldChar w:fldCharType="begin"/>
    </w:r>
    <w:r>
      <w:rPr>
        <w:color w:val="000000"/>
      </w:rPr>
      <w:instrText>PAGE</w:instrText>
    </w:r>
    <w:r w:rsidR="00576470">
      <w:rPr>
        <w:color w:val="000000"/>
      </w:rPr>
      <w:fldChar w:fldCharType="separate"/>
    </w:r>
    <w:r w:rsidR="00576470">
      <w:rPr>
        <w:noProof/>
        <w:color w:val="000000"/>
      </w:rPr>
      <w:t>2</w:t>
    </w:r>
    <w:r>
      <w:rPr>
        <w:color w:val="000000"/>
      </w:rPr>
      <w:fldChar w:fldCharType="end"/>
    </w:r>
    <w:r>
      <w:rPr>
        <w:color w:val="000000"/>
      </w:rPr>
      <w:t xml:space="preserve"> </w:t>
    </w:r>
  </w:p>
  <w:p w:rsidR="006E0807" w:rsidRDefault="006E080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F48" w:rsidRDefault="00836F48">
      <w:pPr>
        <w:spacing w:line="240" w:lineRule="auto"/>
      </w:pPr>
      <w:r>
        <w:separator/>
      </w:r>
    </w:p>
  </w:footnote>
  <w:footnote w:type="continuationSeparator" w:id="0">
    <w:p w:rsidR="00836F48" w:rsidRDefault="00836F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807" w:rsidRDefault="006E0807">
    <w:pPr>
      <w:pBdr>
        <w:top w:val="nil"/>
        <w:left w:val="nil"/>
        <w:bottom w:val="nil"/>
        <w:right w:val="nil"/>
        <w:between w:val="nil"/>
      </w:pBdr>
      <w:tabs>
        <w:tab w:val="center" w:pos="4680"/>
        <w:tab w:val="right" w:pos="9360"/>
      </w:tabs>
      <w:spacing w:line="240" w:lineRule="auto"/>
      <w:jc w:val="center"/>
      <w:rPr>
        <w:b/>
        <w:color w:val="000000"/>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807" w:rsidRDefault="006E0807">
    <w:pPr>
      <w:widowControl w:val="0"/>
      <w:pBdr>
        <w:top w:val="nil"/>
        <w:left w:val="nil"/>
        <w:bottom w:val="nil"/>
        <w:right w:val="nil"/>
        <w:between w:val="nil"/>
      </w:pBdr>
      <w:spacing w:line="276" w:lineRule="auto"/>
      <w:rPr>
        <w:color w:val="000000"/>
      </w:rPr>
    </w:pPr>
  </w:p>
  <w:tbl>
    <w:tblPr>
      <w:tblStyle w:val="a3"/>
      <w:tblW w:w="9431" w:type="dxa"/>
      <w:tblBorders>
        <w:top w:val="nil"/>
        <w:left w:val="nil"/>
        <w:bottom w:val="nil"/>
        <w:right w:val="nil"/>
        <w:insideH w:val="nil"/>
        <w:insideV w:val="nil"/>
      </w:tblBorders>
      <w:tblLayout w:type="fixed"/>
      <w:tblLook w:val="0400" w:firstRow="0" w:lastRow="0" w:firstColumn="0" w:lastColumn="0" w:noHBand="0" w:noVBand="1"/>
    </w:tblPr>
    <w:tblGrid>
      <w:gridCol w:w="1490"/>
      <w:gridCol w:w="7941"/>
    </w:tblGrid>
    <w:tr w:rsidR="006E0807">
      <w:trPr>
        <w:trHeight w:val="1180"/>
      </w:trPr>
      <w:tc>
        <w:tcPr>
          <w:tcW w:w="1490" w:type="dxa"/>
          <w:vAlign w:val="center"/>
        </w:tcPr>
        <w:p w:rsidR="006E0807" w:rsidRDefault="00836F48">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673481" cy="6858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673481" cy="685800"/>
                        </a:xfrm>
                        <a:prstGeom prst="rect">
                          <a:avLst/>
                        </a:prstGeom>
                        <a:ln/>
                      </pic:spPr>
                    </pic:pic>
                  </a:graphicData>
                </a:graphic>
              </wp:inline>
            </w:drawing>
          </w:r>
        </w:p>
      </w:tc>
      <w:tc>
        <w:tcPr>
          <w:tcW w:w="7941" w:type="dxa"/>
          <w:vAlign w:val="center"/>
        </w:tcPr>
        <w:p w:rsidR="006E0807" w:rsidRDefault="00836F48">
          <w:pPr>
            <w:pStyle w:val="Heading1"/>
            <w:spacing w:before="0" w:after="0"/>
            <w:jc w:val="center"/>
            <w:outlineLvl w:val="0"/>
            <w:rPr>
              <w:b/>
            </w:rPr>
          </w:pPr>
          <w:r>
            <w:rPr>
              <w:b/>
            </w:rPr>
            <w:t>Sam Houston High School</w:t>
          </w:r>
        </w:p>
        <w:p w:rsidR="006E0807" w:rsidRDefault="00836F48">
          <w:pPr>
            <w:pBdr>
              <w:top w:val="nil"/>
              <w:left w:val="nil"/>
              <w:bottom w:val="nil"/>
              <w:right w:val="nil"/>
              <w:between w:val="nil"/>
            </w:pBdr>
            <w:tabs>
              <w:tab w:val="center" w:pos="4680"/>
              <w:tab w:val="right" w:pos="9360"/>
            </w:tabs>
            <w:jc w:val="center"/>
            <w:rPr>
              <w:rFonts w:ascii="Garamond" w:eastAsia="Garamond" w:hAnsi="Garamond" w:cs="Garamond"/>
              <w:color w:val="000000"/>
              <w:sz w:val="28"/>
              <w:szCs w:val="28"/>
            </w:rPr>
          </w:pPr>
          <w:r>
            <w:rPr>
              <w:rFonts w:ascii="Garamond" w:eastAsia="Garamond" w:hAnsi="Garamond" w:cs="Garamond"/>
              <w:color w:val="000000"/>
              <w:sz w:val="28"/>
              <w:szCs w:val="28"/>
            </w:rPr>
            <w:t>4635 E. Houston Street, San Antonio, Texas 78220</w:t>
          </w:r>
        </w:p>
        <w:p w:rsidR="006E0807" w:rsidRDefault="00836F48">
          <w:pPr>
            <w:pBdr>
              <w:top w:val="nil"/>
              <w:left w:val="nil"/>
              <w:bottom w:val="nil"/>
              <w:right w:val="nil"/>
              <w:between w:val="nil"/>
            </w:pBdr>
            <w:tabs>
              <w:tab w:val="center" w:pos="4680"/>
              <w:tab w:val="right" w:pos="9360"/>
            </w:tabs>
            <w:jc w:val="center"/>
            <w:rPr>
              <w:rFonts w:ascii="Garamond" w:eastAsia="Garamond" w:hAnsi="Garamond" w:cs="Garamond"/>
              <w:color w:val="000000"/>
            </w:rPr>
          </w:pPr>
          <w:r>
            <w:rPr>
              <w:rFonts w:ascii="Garamond" w:eastAsia="Garamond" w:hAnsi="Garamond" w:cs="Garamond"/>
              <w:color w:val="000000"/>
              <w:sz w:val="28"/>
              <w:szCs w:val="28"/>
            </w:rPr>
            <w:t>Main Office:  (210) 978-7900</w:t>
          </w:r>
        </w:p>
      </w:tc>
    </w:tr>
  </w:tbl>
  <w:p w:rsidR="006E0807" w:rsidRDefault="006E080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D3C"/>
    <w:multiLevelType w:val="multilevel"/>
    <w:tmpl w:val="2820D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42501E"/>
    <w:multiLevelType w:val="multilevel"/>
    <w:tmpl w:val="B8EE1B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7F232536"/>
    <w:multiLevelType w:val="multilevel"/>
    <w:tmpl w:val="648A7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07"/>
    <w:rsid w:val="00576470"/>
    <w:rsid w:val="006E0807"/>
    <w:rsid w:val="0083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51945-BF55-4DE6-A87E-88E3FC14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line="240" w:lineRule="auto"/>
      <w:outlineLvl w:val="0"/>
    </w:pPr>
    <w:rPr>
      <w:rFonts w:ascii="Garamond" w:eastAsia="Garamond" w:hAnsi="Garamond" w:cs="Garamond"/>
      <w:smallCaps/>
      <w:sz w:val="44"/>
      <w:szCs w:val="44"/>
    </w:rPr>
  </w:style>
  <w:style w:type="paragraph" w:styleId="Heading2">
    <w:name w:val="heading 2"/>
    <w:basedOn w:val="Normal"/>
    <w:next w:val="Normal"/>
    <w:pPr>
      <w:keepNext/>
      <w:keepLines/>
      <w:spacing w:before="120" w:after="120" w:line="240" w:lineRule="auto"/>
      <w:outlineLvl w:val="1"/>
    </w:pPr>
    <w:rPr>
      <w:rFonts w:ascii="Garamond" w:eastAsia="Garamond" w:hAnsi="Garamond" w:cs="Garamond"/>
      <w:smallCaps/>
      <w:sz w:val="40"/>
      <w:szCs w:val="40"/>
    </w:rPr>
  </w:style>
  <w:style w:type="paragraph" w:styleId="Heading3">
    <w:name w:val="heading 3"/>
    <w:basedOn w:val="Normal"/>
    <w:next w:val="Normal"/>
    <w:pPr>
      <w:keepNext/>
      <w:keepLines/>
      <w:spacing w:before="320" w:after="80" w:line="276" w:lineRule="auto"/>
      <w:contextualSpacing/>
      <w:outlineLvl w:val="2"/>
    </w:pPr>
    <w:rPr>
      <w:color w:val="434343"/>
      <w:sz w:val="28"/>
      <w:szCs w:val="28"/>
    </w:rPr>
  </w:style>
  <w:style w:type="paragraph" w:styleId="Heading4">
    <w:name w:val="heading 4"/>
    <w:basedOn w:val="Normal"/>
    <w:next w:val="Normal"/>
    <w:pPr>
      <w:keepNext/>
      <w:keepLines/>
      <w:spacing w:before="280" w:after="80" w:line="276" w:lineRule="auto"/>
      <w:contextualSpacing/>
      <w:outlineLvl w:val="3"/>
    </w:pPr>
    <w:rPr>
      <w:color w:val="666666"/>
      <w:sz w:val="24"/>
      <w:szCs w:val="24"/>
    </w:rPr>
  </w:style>
  <w:style w:type="paragraph" w:styleId="Heading5">
    <w:name w:val="heading 5"/>
    <w:basedOn w:val="Normal"/>
    <w:next w:val="Normal"/>
    <w:pPr>
      <w:keepNext/>
      <w:keepLines/>
      <w:spacing w:before="240" w:after="80" w:line="276" w:lineRule="auto"/>
      <w:contextualSpacing/>
      <w:outlineLvl w:val="4"/>
    </w:pPr>
    <w:rPr>
      <w:color w:val="666666"/>
    </w:rPr>
  </w:style>
  <w:style w:type="paragraph" w:styleId="Heading6">
    <w:name w:val="heading 6"/>
    <w:basedOn w:val="Normal"/>
    <w:next w:val="Normal"/>
    <w:pPr>
      <w:keepNext/>
      <w:keepLines/>
      <w:spacing w:before="240" w:after="80" w:line="276" w:lineRule="auto"/>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chools.saisd.net/page/grobles3-Home" TargetMode="External"/><Relationship Id="rId3" Type="http://schemas.openxmlformats.org/officeDocument/2006/relationships/settings" Target="settings.xml"/><Relationship Id="rId7" Type="http://schemas.openxmlformats.org/officeDocument/2006/relationships/hyperlink" Target="http://tea.texas.gov/curriculum/teks/" TargetMode="External"/><Relationship Id="rId12" Type="http://schemas.openxmlformats.org/officeDocument/2006/relationships/hyperlink" Target="https://classroom.googl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ROBLES, GISELLE C</dc:creator>
  <cp:lastModifiedBy>Windows User</cp:lastModifiedBy>
  <cp:revision>2</cp:revision>
  <dcterms:created xsi:type="dcterms:W3CDTF">2018-08-10T21:06:00Z</dcterms:created>
  <dcterms:modified xsi:type="dcterms:W3CDTF">2018-08-10T21:06:00Z</dcterms:modified>
</cp:coreProperties>
</file>